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2"/>
        <w:spacing w:before="0"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pStyle w:val="812"/>
        <w:spacing w:before="0"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pStyle w:val="812"/>
        <w:spacing w:before="0"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pStyle w:val="812"/>
        <w:spacing w:before="0"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pStyle w:val="812"/>
        <w:spacing w:before="0"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pStyle w:val="812"/>
        <w:spacing w:before="0"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pStyle w:val="812"/>
        <w:spacing w:before="0"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pStyle w:val="812"/>
        <w:spacing w:before="0"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pStyle w:val="812"/>
        <w:spacing w:before="0"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pStyle w:val="812"/>
        <w:spacing w:before="0"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pStyle w:val="812"/>
        <w:spacing w:before="0"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pStyle w:val="812"/>
        <w:jc w:val="center"/>
        <w:spacing w:before="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PT Sans" w:cs="Times New Roman"/>
          <w:b/>
          <w:bCs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</w:t>
        <w:br/>
        <w:t xml:space="preserve">Правительства Белгородской области </w:t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18 октября 2021 года № 470-пп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812"/>
        <w:spacing w:before="0" w:after="0" w:line="240" w:lineRule="auto"/>
        <w:tabs>
          <w:tab w:val="clear" w:pos="708" w:leader="none"/>
          <w:tab w:val="left" w:pos="582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12"/>
        <w:spacing w:before="0" w:after="0" w:line="240" w:lineRule="auto"/>
        <w:tabs>
          <w:tab w:val="clear" w:pos="708" w:leader="none"/>
          <w:tab w:val="left" w:pos="582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contextualSpacing w:val="0"/>
        <w:ind w:left="0" w:right="0" w:firstLine="708"/>
        <w:jc w:val="both"/>
        <w:spacing w:before="0" w:after="0" w:line="240" w:lineRule="auto"/>
        <w:shd w:val="clear" w:color="ffffff" w:fill="ffffff"/>
        <w:rPr>
          <w:rFonts w:ascii="Times New Roman" w:hAnsi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Федеральным законом от 31 июля 2020 года № 248-ФЗ «</w:t>
      </w:r>
      <w:r>
        <w:rPr>
          <w:rFonts w:ascii="Times New Roman" w:hAnsi="Times New Roman"/>
          <w:sz w:val="28"/>
          <w:szCs w:val="28"/>
        </w:rPr>
        <w:t xml:space="preserve">О государственном контроле (надзоре) и муниципальном контроле </w:t>
        <w:br/>
        <w:t xml:space="preserve">в Российской Федерации»</w:t>
      </w:r>
      <w:r>
        <w:rPr>
          <w:rFonts w:ascii="Times New Roman" w:hAnsi="Times New Roman"/>
          <w:b/>
          <w:sz w:val="28"/>
          <w:szCs w:val="28"/>
        </w:rPr>
        <w:t xml:space="preserve"> п о с т а н о в л я е т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  <w14:ligatures w14:val="none"/>
        </w:rPr>
      </w:r>
      <w:r/>
    </w:p>
    <w:p>
      <w:pPr>
        <w:pStyle w:val="813"/>
        <w:contextualSpacing w:val="0"/>
        <w:ind w:left="0" w:right="0" w:firstLine="708"/>
        <w:jc w:val="both"/>
        <w:spacing w:before="0" w:after="0" w:line="240" w:lineRule="auto"/>
        <w:rPr>
          <w:rFonts w:ascii="Times New Roman" w:hAnsi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/>
          <w:sz w:val="28"/>
          <w:szCs w:val="28"/>
        </w:rPr>
        <w:t xml:space="preserve">1. Внести следующие изменения 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постановление Правительства Белгородской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1" w:tooltip="https://internet.garant.ru/document/redirect/402958486/0" w:history="1">
        <w:r>
          <w:rPr>
            <w:rFonts w:ascii="Times New Roman" w:hAnsi="Times New Roman"/>
            <w:sz w:val="28"/>
            <w:szCs w:val="28"/>
          </w:rPr>
          <w:t xml:space="preserve">от 18 октября 2021 года № 470-пп «Об утверждении Положения о региональном государственном контроле (надзоре) </w:t>
          <w:br/>
          <w:t xml:space="preserve">на автомобильном транспорте, городском наземном электрическом транспорте и в дорожном хозяйстве на территории Белгородской области</w:t>
        </w:r>
        <w:r>
          <w:rPr>
            <w:rFonts w:ascii="Times New Roman" w:hAnsi="Times New Roman"/>
            <w:sz w:val="28"/>
            <w:szCs w:val="28"/>
          </w:rPr>
        </w:r>
      </w:hyperlink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(далее - Постановление)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  <w14:ligatures w14:val="none"/>
        </w:rPr>
      </w:r>
      <w:r/>
    </w:p>
    <w:p>
      <w:pPr>
        <w:pStyle w:val="856"/>
        <w:numPr>
          <w:ilvl w:val="0"/>
          <w:numId w:val="4"/>
        </w:numPr>
        <w:contextualSpacing w:val="0"/>
        <w:ind w:left="0" w:right="0" w:firstLine="850"/>
        <w:jc w:val="both"/>
        <w:spacing w:before="0" w:after="0" w:line="240" w:lineRule="auto"/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п.3.15-3.22 приложения к Постановлению изложить в следующей редакции: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</w:r>
      <w:r/>
    </w:p>
    <w:p>
      <w:pPr>
        <w:contextualSpacing w:val="0"/>
        <w:ind w:left="0" w:right="0" w:firstLine="709"/>
        <w:jc w:val="both"/>
        <w:spacing w:before="0" w:after="0" w:line="240" w:lineRule="auto"/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«3.15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Профилактический визит проводится в форме профилактической беседы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должностно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 лицо осуществляющее государственный контроль (надзор)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</w:r>
      <w:r/>
    </w:p>
    <w:p>
      <w:pPr>
        <w:contextualSpacing w:val="0"/>
        <w:ind w:left="0" w:right="0" w:firstLine="708"/>
        <w:jc w:val="both"/>
        <w:keepLines w:val="0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</w:t>
        <w:br/>
        <w:t xml:space="preserve">к принадлежащим ему объектам контроля, их соответствии критериям риска, </w:t>
        <w:br/>
        <w:t xml:space="preserve">о рекомендуемых способах снижения категории риск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а, видах, со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ержании</w:t>
        <w:br/>
        <w:t xml:space="preserve"> и об интенсивности мероприятий, проводимых в отношении объекта контроля исходя из его отнесения к соответствующей категории риска, </w:t>
        <w:br/>
        <w:t xml:space="preserve">а контролируемый орган осуществляет ознакомление с объектом контроля, сбор сведений, необходимых для отнесения объе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ктов контроля к категориям риска, и проводит оценку уровня соблюдения контролируемым лицом обязательных требований.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p>
      <w:pPr>
        <w:contextualSpacing w:val="0"/>
        <w:ind w:left="0" w:right="0" w:firstLine="708"/>
        <w:jc w:val="both"/>
        <w:keepLines w:val="0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Профилактический визит проводится по инициативе контрольного (надзорного) органа (обязательный профилактический визит)</w:t>
        <w:br/>
        <w:t xml:space="preserve">или по инициативе контролируемого лица.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p>
      <w:pPr>
        <w:contextualSpacing w:val="0"/>
        <w:ind w:left="0" w:right="0" w:firstLine="708"/>
        <w:jc w:val="both"/>
        <w:keepLines w:val="0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 итогам проведения профилактического визита объекту контроля может быть присвоена публичная оценка уровня соблюдения обязательных требова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ний в соответствии с </w:t>
      </w:r>
      <w:hyperlink r:id="rId12" w:tooltip="https://internet.garant.ru/#/document/74449814/entry/4806" w:history="1">
        <w:r>
          <w:rPr>
            <w:rStyle w:val="838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частями 6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 и </w:t>
      </w:r>
      <w:hyperlink r:id="rId13" w:tooltip="https://internet.garant.ru/#/document/74449814/entry/4807" w:history="1">
        <w:r>
          <w:rPr>
            <w:rStyle w:val="838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7 статьи 48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  Федерального закона</w:t>
        <w:br/>
        <w:t xml:space="preserve"> </w:t>
      </w:r>
      <w:r>
        <w:rPr>
          <w:rFonts w:ascii="Times New Roman" w:hAnsi="Times New Roman" w:eastAsia="Roboto" w:cs="Times New Roman"/>
          <w:color w:val="000000" w:themeColor="text1"/>
          <w:sz w:val="28"/>
          <w:szCs w:val="28"/>
          <w:highlight w:val="white"/>
          <w:u w:val="none"/>
        </w:rPr>
        <w:t xml:space="preserve">от 31 июля 2020 года № 248-ФЗ «О государственном контроле (надзоре)</w:t>
        <w:br/>
        <w:t xml:space="preserve"> и муниципальном контроле в Российской Федерации</w:t>
      </w:r>
      <w:r>
        <w:rPr>
          <w:rFonts w:ascii="Times New Roman" w:hAnsi="Times New Roman" w:eastAsia="Roboto" w:cs="Times New Roman"/>
          <w:color w:val="000000" w:themeColor="text1"/>
          <w:sz w:val="28"/>
          <w:szCs w:val="28"/>
          <w:highlight w:val="none"/>
          <w:u w:val="none"/>
        </w:rPr>
        <w:t xml:space="preserve">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</w:r>
      <w:r/>
    </w:p>
    <w:p>
      <w:pPr>
        <w:contextualSpacing w:val="0"/>
        <w:ind w:left="0" w:right="0" w:firstLine="708"/>
        <w:jc w:val="both"/>
        <w:keepLines w:val="0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3.16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Обязательный профилактический визит проводится: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  <w:r/>
    </w:p>
    <w:p>
      <w:pPr>
        <w:contextualSpacing w:val="0"/>
        <w:ind w:left="0" w:right="0" w:firstLine="708"/>
        <w:jc w:val="both"/>
        <w:keepLines w:val="0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1) в отношении контролируемых лиц, принадлежащих им объектов контроля, отнесенных к определенной категории риска, с учетом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периодичности проведения обязательных профилактических мероприятий, установленной </w:t>
      </w:r>
      <w:hyperlink r:id="rId14" w:tooltip="https://internet.garant.ru/#/document/74449814/entry/2502" w:history="1">
        <w:r>
          <w:rPr>
            <w:rFonts w:ascii="Times New Roman" w:hAnsi="Times New Roman" w:eastAsia="Times New Roman" w:cs="Times New Roman"/>
            <w:color w:val="000000"/>
            <w:sz w:val="28"/>
            <w:szCs w:val="28"/>
          </w:rPr>
          <w:t xml:space="preserve">частью 2 статьи 25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Федерального закона от 31 июля 2020 года № 248-ФЗ «О государственном контроле (надзоре) и муниципальном контроле </w:t>
        <w:br/>
        <w:t xml:space="preserve">в Российской Федерации»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  <w:r/>
    </w:p>
    <w:p>
      <w:pPr>
        <w:contextualSpacing w:val="0"/>
        <w:ind w:left="0" w:right="0" w:firstLine="708"/>
        <w:jc w:val="both"/>
        <w:keepLines w:val="0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2) в отношении контролируемых лиц, представивших уведомление </w:t>
        <w:br/>
        <w:t xml:space="preserve">о начале осуществления отдельных видов предпринимательской деятельности </w:t>
        <w:br/>
        <w:t xml:space="preserve">в соответствии со </w:t>
      </w:r>
      <w:hyperlink r:id="rId15" w:tooltip="https://internet.garant.ru/#/document/12164247/entry/8" w:history="1">
        <w:r>
          <w:rPr>
            <w:rFonts w:ascii="Times New Roman" w:hAnsi="Times New Roman" w:eastAsia="Times New Roman" w:cs="Times New Roman"/>
            <w:color w:val="000000"/>
            <w:sz w:val="28"/>
            <w:szCs w:val="28"/>
          </w:rPr>
          <w:t xml:space="preserve">статьей 8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Федерального закона от 26 декабря 2008 года № 294-ФЗ «О защите прав юридических лиц и индивидуальных предпринимателей при осуществлении государственного контроля (надзора) </w:t>
        <w:br/>
        <w:t xml:space="preserve">и муниципального контроля». Перечень видов предпринимательской деятельности, в отно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шении которых представляются такие уведомления, утверждается положением о виде контроля. Обязательный профилактический визит в указанном случае проводится не позднее шести месяцев с даты представления такого уведомления;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p>
      <w:pPr>
        <w:contextualSpacing w:val="0"/>
        <w:ind w:left="0" w:right="0" w:firstLine="708"/>
        <w:jc w:val="both"/>
        <w:keepLines w:val="0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3) при наступлении события, указанного в программе проверок, если федеральным законом о виде контроля установлено, что обязательный профилактический визит может быть проведен на основании программы проверок;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p>
      <w:pPr>
        <w:contextualSpacing w:val="0"/>
        <w:ind w:left="0" w:right="0" w:firstLine="708"/>
        <w:jc w:val="both"/>
        <w:keepLines w:val="0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4) по поручению: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p>
      <w:pPr>
        <w:contextualSpacing w:val="0"/>
        <w:ind w:left="0" w:right="0" w:firstLine="708"/>
        <w:jc w:val="both"/>
        <w:keepLines w:val="0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а) Президента Российской Федерации;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p>
      <w:pPr>
        <w:contextualSpacing w:val="0"/>
        <w:ind w:left="0" w:right="0" w:firstLine="708"/>
        <w:jc w:val="both"/>
        <w:keepLines w:val="0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) Председателя Правительства Российской Федерации или Заместителя Председателя Правительства Российской Федерации, согласованному </w:t>
        <w:br/>
        <w:t xml:space="preserve">с Заместителем Председателя Правительства Российской Федерации - Руководителем Аппарата Правительства Российской Федерации (в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том числе </w:t>
        <w:br/>
        <w:t xml:space="preserve">в отношении видов федерального государственного контроля (надзора), полномочия по осуществлению которых переданы для осуществления органам государственной власти субъектов Российской Федерации);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p>
      <w:pPr>
        <w:contextualSpacing w:val="0"/>
        <w:ind w:left="0" w:right="0" w:firstLine="708"/>
        <w:jc w:val="both"/>
        <w:keepLines w:val="0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в)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высшего должностного лица субъекта Российской Федерации </w:t>
        <w:br/>
        <w:t xml:space="preserve">(в отношении видов регионального государственного контроля (надзора) </w:t>
        <w:br/>
        <w:t xml:space="preserve">и видов федерального государственного контроля (надзора), полномочия </w:t>
        <w:br/>
        <w:t xml:space="preserve">по осуществлению которых переданы для осуществления органам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государственной власти субъектов Российской Федерации).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p>
      <w:pPr>
        <w:contextualSpacing w:val="0"/>
        <w:ind w:left="0" w:right="0" w:firstLine="708"/>
        <w:jc w:val="both"/>
        <w:keepLines w:val="0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3.17. Правительство Российской Федерации вправе установить </w:t>
      </w:r>
      <w:hyperlink r:id="rId16" w:tooltip="https://internet.garant.ru/#/document/403681894/entry/114" w:history="1">
        <w:r>
          <w:rPr>
            <w:rFonts w:ascii="Times New Roman" w:hAnsi="Times New Roman" w:eastAsia="Times New Roman" w:cs="Times New Roman"/>
            <w:color w:val="000000"/>
            <w:sz w:val="28"/>
            <w:szCs w:val="28"/>
          </w:rPr>
          <w:t xml:space="preserve">иные случаи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проведения обязательных профилактических визитов в отношении контролируемых лиц.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p>
      <w:pPr>
        <w:contextualSpacing w:val="0"/>
        <w:ind w:left="0" w:right="0" w:firstLine="708"/>
        <w:jc w:val="both"/>
        <w:keepLines w:val="0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3.18. Обязательный профилактический визит не предусматривает отказ контролируемого лица от его проведения.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p>
      <w:pPr>
        <w:contextualSpacing w:val="0"/>
        <w:ind w:left="0" w:right="0" w:firstLine="708"/>
        <w:jc w:val="both"/>
        <w:keepLines w:val="0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3.19. В рамках обязательного профилактического визита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контролируемый орга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 при необходимости проводит осмотр, истребование необходимых документов, отбор проб (образцов), инструментальное обследование, испытание, экспертизу.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p>
      <w:pPr>
        <w:contextualSpacing w:val="0"/>
        <w:ind w:left="0" w:right="0" w:firstLine="708"/>
        <w:jc w:val="both"/>
        <w:keepLines w:val="0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Поручение Президента Российской Федерации о проведении обязательных профилактических визитов,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сийской Федерации.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p>
      <w:pPr>
        <w:contextualSpacing w:val="0"/>
        <w:ind w:left="0" w:right="0" w:firstLine="708"/>
        <w:jc w:val="both"/>
        <w:keepLines w:val="0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случае, если поручение не содержит указание на вид контроля и (или) перечень контролируемых лиц, в отношении которых должны быть проведены контрольные (надзорные) мероприятия, в целях организации исполнения такого поручения принимается поручение Замес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тителя Председателя Правительства Российской Федерации.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p>
      <w:pPr>
        <w:contextualSpacing w:val="0"/>
        <w:ind w:left="0" w:right="0" w:firstLine="708"/>
        <w:jc w:val="both"/>
        <w:keepLines w:val="0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Поручения заместителей Председателя Правительства Российской Федерации, согласованные с Заместителем Председателя Правительства Российской Федерации - Руководителем Аппарата Правительства Российской Федерации, высших должностных лиц субъектов Российской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Федерации </w:t>
        <w:br/>
        <w:t xml:space="preserve">о проведении обязательных профилактических визитов должны содержать следующие сведения: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p>
      <w:pPr>
        <w:contextualSpacing w:val="0"/>
        <w:ind w:left="0" w:right="0" w:firstLine="708"/>
        <w:jc w:val="both"/>
        <w:keepLines w:val="0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1) вид контроля, в рамках которого должны быть проведены обязательные профилактические визиты;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p>
      <w:pPr>
        <w:contextualSpacing w:val="0"/>
        <w:ind w:left="0" w:right="0" w:firstLine="708"/>
        <w:jc w:val="both"/>
        <w:keepLines w:val="0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2) перечень контролируемых лиц, в отношении которых должны быть проведены обязательные профилактические визиты;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p>
      <w:pPr>
        <w:contextualSpacing w:val="0"/>
        <w:ind w:left="0" w:right="0" w:firstLine="708"/>
        <w:jc w:val="both"/>
        <w:keepLines w:val="0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3) предмет обязательного профилактического визита;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p>
      <w:pPr>
        <w:contextualSpacing w:val="0"/>
        <w:ind w:left="0" w:right="0" w:firstLine="708"/>
        <w:jc w:val="both"/>
        <w:keepLines w:val="0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4) период, в течение которого должны быть проведены обязательные профилактические визиты.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p>
      <w:pPr>
        <w:contextualSpacing w:val="0"/>
        <w:ind w:left="0" w:right="0" w:firstLine="708"/>
        <w:jc w:val="both"/>
        <w:keepLines w:val="0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3.20. Срок проведения обязательного профилактического визита не может превышать десять рабочих дней и может быть продлен на срок, необходимый для проведения экспертизы, испытаний.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p>
      <w:pPr>
        <w:contextualSpacing w:val="0"/>
        <w:ind w:left="0" w:right="0" w:firstLine="708"/>
        <w:jc w:val="both"/>
        <w:keepLines w:val="0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3.21. По окончании проведения обязательного профилактического визита составляется акт о проведении обязательного профилактического визита (далее также - акт обязательного профилактического визита).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p>
      <w:pPr>
        <w:contextualSpacing w:val="0"/>
        <w:ind w:left="0" w:right="0" w:firstLine="708"/>
        <w:jc w:val="both"/>
        <w:keepLines w:val="0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3.22. Контролируемое лицо или его представитель знакомится с содержанием акта обязательного профилактического визита в порядке, предусмотренном </w:t>
      </w:r>
      <w:hyperlink r:id="rId17" w:tooltip="https://internet.garant.ru/#/document/74449814/entry/88" w:history="1">
        <w:r>
          <w:rPr>
            <w:rFonts w:ascii="Times New Roman" w:hAnsi="Times New Roman" w:eastAsia="Times New Roman" w:cs="Times New Roman"/>
            <w:color w:val="000000"/>
            <w:sz w:val="28"/>
            <w:szCs w:val="28"/>
          </w:rPr>
          <w:t xml:space="preserve">статьей 88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Федерального закона от 31 июля 2020 года № 248-ФЗ «О государственном контроле (надзоре) и муниципальном контроле </w:t>
        <w:br/>
        <w:t xml:space="preserve">в Российской Федерации»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p>
      <w:pPr>
        <w:contextualSpacing w:val="0"/>
        <w:ind w:left="0" w:right="0" w:firstLine="708"/>
        <w:jc w:val="both"/>
        <w:keepLines w:val="0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случае невозможности проведения обязательного профилактического визита и (или)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порядке, предусмотренном </w:t>
      </w:r>
      <w:hyperlink r:id="rId18" w:tooltip="https://internet.garant.ru/#/document/74449814/entry/6510" w:history="1">
        <w:r>
          <w:rPr>
            <w:rFonts w:ascii="Times New Roman" w:hAnsi="Times New Roman" w:eastAsia="Times New Roman" w:cs="Times New Roman"/>
            <w:color w:val="000000"/>
            <w:sz w:val="28"/>
            <w:szCs w:val="28"/>
          </w:rPr>
          <w:t xml:space="preserve">частью 10 статьи 65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Федерального закона от 31 июля 2020 года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p>
      <w:pPr>
        <w:contextualSpacing w:val="0"/>
        <w:ind w:left="0" w:right="0" w:firstLine="708"/>
        <w:jc w:val="both"/>
        <w:keepLines w:val="0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случае невозможности проведения обязательного профилактического визита уполномоченное должностное лицо контрольного (надзорного) органа вправе не позднее трех месяцев с даты составления акта о невозможности проведения обязательного профилактического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визита принять решение о повторном проведении обязательного профилактического визита в отношении контролируемого лица.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p>
      <w:pPr>
        <w:contextualSpacing w:val="0"/>
        <w:ind w:left="0" w:right="0" w:firstLine="708"/>
        <w:jc w:val="both"/>
        <w:keepLines w:val="0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 </w:t>
      </w:r>
      <w:hyperlink r:id="rId19" w:tooltip="https://internet.garant.ru/#/document/74449814/entry/9010" w:history="1">
        <w:r>
          <w:rPr>
            <w:rFonts w:ascii="Times New Roman" w:hAnsi="Times New Roman" w:eastAsia="Times New Roman" w:cs="Times New Roman"/>
            <w:color w:val="000000"/>
            <w:sz w:val="28"/>
            <w:szCs w:val="28"/>
          </w:rPr>
          <w:t xml:space="preserve">статьей 90.1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Федерального закона от 31 июля </w:t>
        <w:br/>
        <w:t xml:space="preserve">2020 года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p>
      <w:pPr>
        <w:pStyle w:val="856"/>
        <w:numPr>
          <w:ilvl w:val="0"/>
          <w:numId w:val="5"/>
        </w:numPr>
        <w:contextualSpacing w:val="0"/>
        <w:ind w:left="0" w:right="0" w:firstLine="709"/>
        <w:jc w:val="both"/>
        <w:keepLines w:val="0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приложения к Постановлению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дополнить пунктами 3.23-3.28 </w:t>
        <w:br/>
        <w:t xml:space="preserve">и изложить их в следующей редакции: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  <w:r/>
    </w:p>
    <w:p>
      <w:pPr>
        <w:contextualSpacing w:val="0"/>
        <w:ind w:left="709" w:right="0" w:firstLine="0"/>
        <w:jc w:val="both"/>
        <w:keepLines w:val="0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«3.23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Профилактический визит по инициативе контролируемого лица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14:ligatures w14:val="none"/>
        </w:rPr>
        <w:t xml:space="preserve">:</w:t>
      </w:r>
      <w:r>
        <w:rPr>
          <w:b w:val="0"/>
          <w:bCs w:val="0"/>
          <w:sz w:val="28"/>
          <w:szCs w:val="28"/>
        </w:rPr>
      </w:r>
      <w:r/>
    </w:p>
    <w:p>
      <w:pPr>
        <w:contextualSpacing w:val="0"/>
        <w:ind w:left="0" w:right="0" w:firstLine="708"/>
        <w:jc w:val="both"/>
        <w:keepLines w:val="0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иципальным учреждением.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p>
      <w:pPr>
        <w:contextualSpacing w:val="0"/>
        <w:ind w:left="0" w:right="0" w:firstLine="708"/>
        <w:jc w:val="both"/>
        <w:keepLines w:val="0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Контролируемое лицо подает заявление о проведении профилактического визита посредством </w:t>
      </w:r>
      <w:hyperlink r:id="rId20" w:tooltip="https://www.gosuslugi.ru/" w:history="1">
        <w:r>
          <w:rPr>
            <w:rFonts w:ascii="Times New Roman" w:hAnsi="Times New Roman" w:eastAsia="Times New Roman" w:cs="Times New Roman"/>
            <w:color w:val="000000"/>
            <w:sz w:val="28"/>
            <w:szCs w:val="28"/>
          </w:rPr>
          <w:t xml:space="preserve">единого портала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государственных и муниципальных услуг или регионального портала государственных и муниципальных услуг. Контрольный (надзорный) орган рассматривает заявление в течение десяти рабочих дней и принимает решение о проведении профилактического визита либо об от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казе в его проведении, о чем уведомляет контролируемое лицо.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p>
      <w:pPr>
        <w:contextualSpacing w:val="0"/>
        <w:ind w:left="0" w:right="0" w:firstLine="708"/>
        <w:jc w:val="both"/>
        <w:keepLines w:val="0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случае принятия решения о проведении профилактического визита контрольный (надзорный) орган в течение двадцати рабочих дней согласовывает дату его проведения с контролируемым лицом любым способом, обеспечивающим фиксирование такого согласования.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p>
      <w:pPr>
        <w:contextualSpacing w:val="0"/>
        <w:ind w:left="0" w:right="0" w:firstLine="708"/>
        <w:jc w:val="both"/>
        <w:keepLines w:val="0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3.24. Решение об отказе в проведении профилактического визита принимается в следующих случаях: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p>
      <w:pPr>
        <w:contextualSpacing w:val="0"/>
        <w:ind w:left="0" w:right="0" w:firstLine="708"/>
        <w:jc w:val="both"/>
        <w:keepLines w:val="0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1) от контролируемого лица поступило уведомление об отзыве заявления;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p>
      <w:pPr>
        <w:contextualSpacing w:val="0"/>
        <w:ind w:left="0" w:right="0" w:firstLine="708"/>
        <w:jc w:val="both"/>
        <w:keepLines w:val="0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)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</w:t>
        <w:br/>
        <w:t xml:space="preserve">с иными действиями (бездействием) контролируемого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лица, повлекшими невозможность проведения профилактического визита;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p>
      <w:pPr>
        <w:contextualSpacing w:val="0"/>
        <w:ind w:left="0" w:right="0" w:firstLine="708"/>
        <w:jc w:val="both"/>
        <w:keepLines w:val="0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3) в течение года до даты подачи заявления контрольным (надзорным) органом проведен профилактический визит по ранее поданному заявлению;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p>
      <w:pPr>
        <w:contextualSpacing w:val="0"/>
        <w:ind w:left="0" w:right="0" w:firstLine="708"/>
        <w:jc w:val="both"/>
        <w:keepLines w:val="0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4) заявление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p>
      <w:pPr>
        <w:contextualSpacing w:val="0"/>
        <w:ind w:left="0" w:right="0" w:firstLine="708"/>
        <w:jc w:val="both"/>
        <w:keepLines w:val="0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3.25. Решение об отказе в проведении профилактического визита может быть обжаловано контролируемым лицом.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p>
      <w:pPr>
        <w:contextualSpacing w:val="0"/>
        <w:ind w:left="0" w:right="0" w:firstLine="708"/>
        <w:jc w:val="both"/>
        <w:keepLines w:val="0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Контролируемое лицо вправе отозвать заявление либо направить отказ </w:t>
        <w:br/>
        <w:t xml:space="preserve">от проведения профилактического визита, уведомив об Минтранс не позднее чем за пять рабочих дней до даты его проведения.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p>
      <w:pPr>
        <w:contextualSpacing w:val="0"/>
        <w:ind w:left="0" w:right="0" w:firstLine="708"/>
        <w:jc w:val="both"/>
        <w:keepLines w:val="0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3.26. В рамках профилактического визита при согласии контролируемого лица инспектор проводит отбор проб (образцов), инструментальное обследование, испытание.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p>
      <w:pPr>
        <w:contextualSpacing w:val="0"/>
        <w:ind w:left="0" w:right="0" w:firstLine="708"/>
        <w:jc w:val="both"/>
        <w:keepLines w:val="0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Разъяснения и рекомендации, полученные контролируемым лицом в ходе профилактического визита, носят рекомендательный характер.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p>
      <w:pPr>
        <w:contextualSpacing w:val="0"/>
        <w:ind w:left="0" w:right="0" w:firstLine="708"/>
        <w:jc w:val="both"/>
        <w:keepLines w:val="0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3.27. Предписания об устранении выявленных в ходе профилактического визита нарушений обязательных требований контролируемым лицам не могут выдаваться.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p>
      <w:pPr>
        <w:contextualSpacing w:val="0"/>
        <w:ind w:left="0" w:right="0" w:firstLine="708"/>
        <w:jc w:val="both"/>
        <w:keepLines w:val="0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28. 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инспектор незамедлительно направ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ляет информацию об этом уполномоченному должностному лицу Минтранса для принятия решения о проведении контрольных (надзорных) мероприятий.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»;</w:t>
      </w:r>
      <w:r/>
    </w:p>
    <w:p>
      <w:pPr>
        <w:pStyle w:val="856"/>
        <w:numPr>
          <w:ilvl w:val="0"/>
          <w:numId w:val="7"/>
        </w:numPr>
        <w:contextualSpacing w:val="0"/>
        <w:ind w:left="0" w:right="0" w:firstLine="1057"/>
        <w:jc w:val="both"/>
        <w:keepLines w:val="0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п.4.15 приложения к Постановлению изложить в следующей редакции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/>
    </w:p>
    <w:p>
      <w:pPr>
        <w:contextualSpacing w:val="0"/>
        <w:ind w:left="0" w:right="0" w:firstLine="708"/>
        <w:jc w:val="both"/>
        <w:keepLines w:val="0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Основанием для проведения контрольных (надзорных) мероприятий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может быть: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p>
      <w:pPr>
        <w:contextualSpacing w:val="0"/>
        <w:ind w:left="0" w:right="0" w:firstLine="708"/>
        <w:jc w:val="both"/>
        <w:keepLines w:val="0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1) наличие у Минтранса сведений о причинении вреда (ущерба) или </w:t>
        <w:br/>
        <w:t xml:space="preserve">об угрозе причинения вреда (ущерба) охраняемым законом ценностям с учетом положений </w:t>
      </w:r>
      <w:hyperlink r:id="rId21" w:tooltip="https://internet.garant.ru/#/document/74449814/entry/60" w:history="1">
        <w:r>
          <w:rPr>
            <w:rFonts w:ascii="Times New Roman" w:hAnsi="Times New Roman" w:eastAsia="Times New Roman" w:cs="Times New Roman"/>
            <w:color w:val="000000"/>
            <w:sz w:val="28"/>
            <w:szCs w:val="28"/>
          </w:rPr>
          <w:t xml:space="preserve">статьи 60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Федерального закона от 31 июля 2020 года № 248-ФЗ </w:t>
        <w:br/>
        <w:t xml:space="preserve">«О государственном контроле (надзоре) и муниципальном контроле </w:t>
        <w:br/>
        <w:t xml:space="preserve">в Российской Федерации»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p>
      <w:pPr>
        <w:contextualSpacing w:val="0"/>
        <w:ind w:left="0" w:right="0" w:firstLine="708"/>
        <w:jc w:val="both"/>
        <w:keepLines w:val="0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2) наступление сроков проведения контрольных (надзорных) мероприятий, включенных в план проведения контрольных (надзорных) мероприятий;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p>
      <w:pPr>
        <w:contextualSpacing w:val="0"/>
        <w:ind w:left="0" w:right="0" w:firstLine="708"/>
        <w:jc w:val="both"/>
        <w:keepLines w:val="0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) поручение Президента Российской Федерации, поручение Правительства Российской Федерации (в том числе в отношении видов федерального государственного контроля (надзора), полномочия </w:t>
        <w:br/>
        <w:t xml:space="preserve">по осуществлению которых переданы для осуществления органам государственн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ой власти субъектов Российской Федерации) о проведении контрольных (надзорных) мероприятий в отношении конкретных контролируемых лиц;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p>
      <w:pPr>
        <w:contextualSpacing w:val="0"/>
        <w:ind w:left="0" w:right="0" w:firstLine="708"/>
        <w:jc w:val="both"/>
        <w:keepLines w:val="0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4) требование прокурора о проведении контрольного (надзорного) мероприятия в рамках надзора за исполнением законов, соблюдением прав </w:t>
        <w:br/>
        <w:t xml:space="preserve">и свобод человека и гражданина по поступившим в органы прокуратуры материалам и обращениям;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p>
      <w:pPr>
        <w:contextualSpacing w:val="0"/>
        <w:ind w:left="0" w:right="0" w:firstLine="708"/>
        <w:jc w:val="both"/>
        <w:keepLines w:val="0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5) истечение срока исполнения решения Минтранса об устранении выявленного нарушения обязательных требований - в случаях, установленных </w:t>
      </w:r>
      <w:hyperlink r:id="rId22" w:tooltip="https://internet.garant.ru/#/document/74449814/entry/9501" w:history="1">
        <w:r>
          <w:rPr>
            <w:rFonts w:ascii="Times New Roman" w:hAnsi="Times New Roman" w:eastAsia="Times New Roman" w:cs="Times New Roman"/>
            <w:color w:val="000000"/>
            <w:sz w:val="28"/>
            <w:szCs w:val="28"/>
          </w:rPr>
          <w:t xml:space="preserve">частью 1 статьи 95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настоящего Федерального закона;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p>
      <w:pPr>
        <w:contextualSpacing w:val="0"/>
        <w:ind w:left="0" w:right="0" w:firstLine="708"/>
        <w:jc w:val="both"/>
        <w:keepLines w:val="0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p>
      <w:pPr>
        <w:contextualSpacing w:val="0"/>
        <w:ind w:left="0" w:right="0" w:firstLine="708"/>
        <w:jc w:val="both"/>
        <w:keepLines w:val="0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7) выявление соответствия объекта контроля параметрам, утвержденным </w:t>
      </w:r>
      <w:hyperlink r:id="rId23" w:tooltip="https://internet.garant.ru/#/multilink/74449814/paragraph/385166/number/0" w:history="1">
        <w:r>
          <w:rPr>
            <w:rFonts w:ascii="Times New Roman" w:hAnsi="Times New Roman" w:eastAsia="Times New Roman" w:cs="Times New Roman"/>
            <w:color w:val="000000"/>
            <w:sz w:val="28"/>
            <w:szCs w:val="28"/>
          </w:rPr>
          <w:t xml:space="preserve">индикаторами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риска нарушения обязательных требований, или отклонения объекта контроля от таких параметров;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p>
      <w:pPr>
        <w:contextualSpacing w:val="0"/>
        <w:ind w:left="0" w:right="0" w:firstLine="708"/>
        <w:jc w:val="both"/>
        <w:keepLines w:val="0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8) наличие у Минтранса сведений об осуществлении деятельности </w:t>
        <w:br/>
        <w:t xml:space="preserve">без уведомления о начале осуществления предпринимательской деятельности, установленного </w:t>
      </w:r>
      <w:hyperlink r:id="rId24" w:tooltip="https://internet.garant.ru/#/document/12164247/entry/81" w:history="1">
        <w:r>
          <w:rPr>
            <w:rFonts w:ascii="Times New Roman" w:hAnsi="Times New Roman" w:eastAsia="Times New Roman" w:cs="Times New Roman"/>
            <w:color w:val="000000"/>
            <w:sz w:val="28"/>
            <w:szCs w:val="28"/>
          </w:rPr>
          <w:t xml:space="preserve">частью 1 статьи 8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Ф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едерального закона от 26 декабря 2008 года №  294-ФЗ «О защите прав юридических лиц и индивидуальных предпринимателей при осуществлении государственного контроля (надзора) </w:t>
        <w:br/>
        <w:t xml:space="preserve">и муниципального контроля», в случае, если представление такого уведомления являетс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я обязательным, или без лицензии, предусмотренной для видов деятельности, указанных в </w:t>
      </w:r>
      <w:hyperlink r:id="rId25" w:tooltip="https://internet.garant.ru/#/document/12185475/entry/12016" w:history="1">
        <w:r>
          <w:rPr>
            <w:rFonts w:ascii="Times New Roman" w:hAnsi="Times New Roman" w:eastAsia="Times New Roman" w:cs="Times New Roman"/>
            <w:color w:val="000000"/>
            <w:sz w:val="28"/>
            <w:szCs w:val="28"/>
          </w:rPr>
          <w:t xml:space="preserve">пунктах 6 - 9.1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 </w:t>
      </w:r>
      <w:hyperlink r:id="rId26" w:tooltip="https://internet.garant.ru/#/document/12185475/entry/120111" w:history="1">
        <w:r>
          <w:rPr>
            <w:rFonts w:ascii="Times New Roman" w:hAnsi="Times New Roman" w:eastAsia="Times New Roman" w:cs="Times New Roman"/>
            <w:color w:val="000000"/>
            <w:sz w:val="28"/>
            <w:szCs w:val="28"/>
          </w:rPr>
          <w:t xml:space="preserve">11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 </w:t>
      </w:r>
      <w:hyperlink r:id="rId27" w:tooltip="https://internet.garant.ru/#/document/12185475/entry/120112" w:history="1">
        <w:r>
          <w:rPr>
            <w:rFonts w:ascii="Times New Roman" w:hAnsi="Times New Roman" w:eastAsia="Times New Roman" w:cs="Times New Roman"/>
            <w:color w:val="000000"/>
            <w:sz w:val="28"/>
            <w:szCs w:val="28"/>
          </w:rPr>
          <w:t xml:space="preserve">12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 </w:t>
      </w:r>
      <w:hyperlink r:id="rId28" w:tooltip="https://internet.garant.ru/#/document/12185475/entry/120114" w:history="1">
        <w:r>
          <w:rPr>
            <w:rFonts w:ascii="Times New Roman" w:hAnsi="Times New Roman" w:eastAsia="Times New Roman" w:cs="Times New Roman"/>
            <w:color w:val="000000"/>
            <w:sz w:val="28"/>
            <w:szCs w:val="28"/>
          </w:rPr>
          <w:t xml:space="preserve">14 - 17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 </w:t>
      </w:r>
      <w:hyperlink r:id="rId29" w:tooltip="https://internet.garant.ru/#/document/12185475/entry/120119" w:history="1">
        <w:r>
          <w:rPr>
            <w:rFonts w:ascii="Times New Roman" w:hAnsi="Times New Roman" w:eastAsia="Times New Roman" w:cs="Times New Roman"/>
            <w:color w:val="000000"/>
            <w:sz w:val="28"/>
            <w:szCs w:val="28"/>
          </w:rPr>
          <w:t xml:space="preserve">19 - 21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 </w:t>
      </w:r>
      <w:hyperlink r:id="rId30" w:tooltip="https://internet.garant.ru/#/document/12185475/entry/120124" w:history="1">
        <w:r>
          <w:rPr>
            <w:rFonts w:ascii="Times New Roman" w:hAnsi="Times New Roman" w:eastAsia="Times New Roman" w:cs="Times New Roman"/>
            <w:color w:val="000000"/>
            <w:sz w:val="28"/>
            <w:szCs w:val="28"/>
          </w:rPr>
          <w:t xml:space="preserve">24 - 31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 </w:t>
      </w:r>
      <w:hyperlink r:id="rId31" w:tooltip="https://internet.garant.ru/#/document/12185475/entry/120134" w:history="1">
        <w:r>
          <w:rPr>
            <w:rFonts w:ascii="Times New Roman" w:hAnsi="Times New Roman" w:eastAsia="Times New Roman" w:cs="Times New Roman"/>
            <w:color w:val="000000"/>
            <w:sz w:val="28"/>
            <w:szCs w:val="28"/>
          </w:rPr>
          <w:t xml:space="preserve">34 - 36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 </w:t>
      </w:r>
      <w:hyperlink r:id="rId32" w:tooltip="https://internet.garant.ru/#/document/12185475/entry/120139" w:history="1">
        <w:r>
          <w:rPr>
            <w:rFonts w:ascii="Times New Roman" w:hAnsi="Times New Roman" w:eastAsia="Times New Roman" w:cs="Times New Roman"/>
            <w:color w:val="000000"/>
            <w:sz w:val="28"/>
            <w:szCs w:val="28"/>
          </w:rPr>
          <w:t xml:space="preserve">39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 </w:t>
      </w:r>
      <w:hyperlink r:id="rId33" w:tooltip="https://internet.garant.ru/#/document/12185475/entry/120140" w:history="1">
        <w:r>
          <w:rPr>
            <w:rFonts w:ascii="Times New Roman" w:hAnsi="Times New Roman" w:eastAsia="Times New Roman" w:cs="Times New Roman"/>
            <w:color w:val="000000"/>
            <w:sz w:val="28"/>
            <w:szCs w:val="28"/>
          </w:rPr>
          <w:t xml:space="preserve">40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 </w:t>
      </w:r>
      <w:hyperlink r:id="rId34" w:tooltip="https://internet.garant.ru/#/document/12185475/entry/120142" w:history="1">
        <w:r>
          <w:rPr>
            <w:rFonts w:ascii="Times New Roman" w:hAnsi="Times New Roman" w:eastAsia="Times New Roman" w:cs="Times New Roman"/>
            <w:color w:val="000000"/>
            <w:sz w:val="28"/>
            <w:szCs w:val="28"/>
          </w:rPr>
          <w:t xml:space="preserve">42 - 55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и </w:t>
      </w:r>
      <w:hyperlink r:id="rId35" w:tooltip="https://internet.garant.ru/#/document/12185475/entry/120159" w:history="1">
        <w:r>
          <w:rPr>
            <w:rFonts w:ascii="Times New Roman" w:hAnsi="Times New Roman" w:eastAsia="Times New Roman" w:cs="Times New Roman"/>
            <w:color w:val="000000"/>
            <w:sz w:val="28"/>
            <w:szCs w:val="28"/>
          </w:rPr>
          <w:t xml:space="preserve">59 части 1 статьи 12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Федерального закона от 4 мая 2011 года № 99-ФЗ «О лицензировании отдельных видов деятельности», </w:t>
        <w:br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или без предоставления в государственную информационную систему мониторинга за оборотом товаров, подлежащих обязательной маркировке средствами идентификации, 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едений, необходимых для регистрации </w:t>
        <w:br/>
        <w:t xml:space="preserve">в указанной информационной системе, в случаях, если представление таких сведений является обязательным, с извещением о проведении контрольного (надзорного) мероприятия в течение двадцати четырех часов органа прокуратуры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по месту нахождения объекта контроля;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  <w:r/>
    </w:p>
    <w:p>
      <w:pPr>
        <w:contextualSpacing w:val="0"/>
        <w:ind w:left="0" w:right="0" w:firstLine="708"/>
        <w:jc w:val="both"/>
        <w:keepLines w:val="0"/>
        <w:spacing w:before="0" w:after="0" w:line="240" w:lineRule="auto"/>
        <w:rPr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9) уклонение контролируемого лица от проведения обязательного профилактического визита.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  <w:r/>
    </w:p>
    <w:p>
      <w:pPr>
        <w:pStyle w:val="856"/>
        <w:numPr>
          <w:ilvl w:val="0"/>
          <w:numId w:val="9"/>
        </w:numPr>
        <w:contextualSpacing w:val="0"/>
        <w:ind w:left="0" w:right="0" w:firstLine="850"/>
        <w:jc w:val="both"/>
        <w:keepLines w:val="0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п. 4.41. приложения к Постановлению изложить в следующей редакции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:</w:t>
      </w:r>
      <w:r>
        <w:rPr>
          <w:highlight w:val="none"/>
          <w14:ligatures w14:val="none"/>
        </w:rPr>
      </w:r>
      <w:r/>
    </w:p>
    <w:p>
      <w:pPr>
        <w:contextualSpacing w:val="0"/>
        <w:ind w:left="0" w:right="0" w:firstLine="850"/>
        <w:jc w:val="both"/>
        <w:keepLines w:val="0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  <w:u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Внеплановый инспекционный визит может проводиться только </w:t>
        <w:br/>
        <w:t xml:space="preserve">по согласованию с органами прокуратуры, за исключением случаев </w:t>
        <w:br/>
        <w:t xml:space="preserve">его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проведения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п. п. 3, 4, 6, 8 ч. 1, ч. 3 ст. 57 и ч. 12 ст. 66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Федерального закона от 31 июля 2020 года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»;</w:t>
      </w:r>
      <w:r>
        <w:rPr>
          <w:rFonts w:ascii="Times New Roman" w:hAnsi="Times New Roman" w:cs="Times New Roman"/>
          <w:sz w:val="28"/>
          <w:szCs w:val="28"/>
          <w:u w:val="none"/>
        </w:rPr>
      </w:r>
      <w:r/>
    </w:p>
    <w:p>
      <w:pPr>
        <w:pStyle w:val="856"/>
        <w:numPr>
          <w:ilvl w:val="0"/>
          <w:numId w:val="11"/>
        </w:numPr>
        <w:contextualSpacing w:val="0"/>
        <w:ind w:left="0" w:right="0" w:firstLine="850"/>
        <w:jc w:val="both"/>
        <w:keepLines w:val="0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п. 4.48. приложения к Постановлению изложить в следующей редакции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  <w:r/>
    </w:p>
    <w:p>
      <w:pPr>
        <w:contextualSpacing w:val="0"/>
        <w:ind w:left="0" w:right="0" w:firstLine="850"/>
        <w:jc w:val="both"/>
        <w:keepLines w:val="0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Рейдовый осмотр может проводиться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 только </w:t>
        <w:br/>
        <w:t xml:space="preserve">по согласованию с органами прокуратуры, за исключением случаев </w:t>
        <w:br/>
        <w:t xml:space="preserve">его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проведения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п. п. 3, 4, 6, 8 ч. 1, ч. 3 ст. 57 и ч. 12 ст. 66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Федерального закона от 31 июля 2020 года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»;</w:t>
      </w:r>
      <w:r>
        <w:rPr>
          <w:sz w:val="28"/>
          <w:szCs w:val="28"/>
        </w:rPr>
      </w:r>
      <w:r/>
    </w:p>
    <w:p>
      <w:pPr>
        <w:pStyle w:val="856"/>
        <w:numPr>
          <w:ilvl w:val="0"/>
          <w:numId w:val="13"/>
        </w:numPr>
        <w:contextualSpacing w:val="0"/>
        <w:ind w:left="0" w:right="0" w:firstLine="850"/>
        <w:jc w:val="both"/>
        <w:keepLines w:val="0"/>
        <w:spacing w:before="0" w:after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п. 4.56. приложения к Постановлению изложить в следующей редакции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  <w:r/>
    </w:p>
    <w:p>
      <w:pPr>
        <w:contextualSpacing w:val="0"/>
        <w:ind w:left="0" w:right="0" w:firstLine="850"/>
        <w:jc w:val="both"/>
        <w:keepLines w:val="0"/>
        <w:spacing w:before="0" w:after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Внеплановая документарная проверка может проводиться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 только </w:t>
        <w:br/>
        <w:t xml:space="preserve">по согласованию с органами прокуратуры, за исключением случаев </w:t>
        <w:br/>
        <w:t xml:space="preserve">его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проведения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п. п. 3, 4, 6, 8 ч. 1, ч. 3 ст. 57 и ч. 12 ст. 66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Федерального закона от 31 июля 2020 года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  <w:r/>
    </w:p>
    <w:p>
      <w:pPr>
        <w:pStyle w:val="856"/>
        <w:numPr>
          <w:ilvl w:val="0"/>
          <w:numId w:val="15"/>
        </w:numPr>
        <w:contextualSpacing w:val="0"/>
        <w:ind w:left="0" w:right="0" w:firstLine="850"/>
        <w:jc w:val="both"/>
        <w:keepLines w:val="0"/>
        <w:spacing w:before="0" w:after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п. 4.60. приложения к Постановлению изложить в следующей редакции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  <w:r/>
    </w:p>
    <w:p>
      <w:pPr>
        <w:contextualSpacing w:val="0"/>
        <w:ind w:left="0" w:right="0" w:firstLine="850"/>
        <w:jc w:val="both"/>
        <w:keepLines w:val="0"/>
        <w:spacing w:before="0" w:after="0" w:line="240" w:lineRule="auto"/>
        <w:rPr>
          <w:rFonts w:ascii="Times New Roman" w:hAnsi="Times New Roman" w:eastAsia="Times New Roman" w:cs="Times New Roman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Внеплановая выездная проверка может проводиться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 только </w:t>
        <w:br/>
        <w:t xml:space="preserve">по согласованию с органами прокуратуры, за исключением случаев </w:t>
        <w:br/>
        <w:t xml:space="preserve">его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проведения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п. п. 3, 4, 6, 8 ч. 1, ч. 3 ст. 57 и ч. 12 ст. 66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Федерального закона от 31 июля 2020 года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  <w:r/>
    </w:p>
    <w:p>
      <w:pPr>
        <w:pStyle w:val="856"/>
        <w:numPr>
          <w:ilvl w:val="0"/>
          <w:numId w:val="16"/>
        </w:numPr>
        <w:contextualSpacing w:val="0"/>
        <w:ind w:left="0" w:right="0" w:firstLine="850"/>
        <w:jc w:val="both"/>
        <w:keepLines w:val="0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п. 6.5. приложения к Постановлению изложить в следующей редакции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  <w:r/>
    </w:p>
    <w:p>
      <w:pPr>
        <w:contextualSpacing w:val="0"/>
        <w:ind w:left="0" w:right="0" w:firstLine="850"/>
        <w:jc w:val="both"/>
        <w:keepLines w:val="0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Контролируемые лица, права и законные интересы которых, </w:t>
        <w:br/>
        <w:t xml:space="preserve">по их мнению, были непосредственно нарушены в рамках осуществления государственного контроля (надзора), имеют право на досудебное обжалование: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  <w:r/>
    </w:p>
    <w:p>
      <w:pPr>
        <w:contextualSpacing w:val="0"/>
        <w:ind w:left="0" w:right="0" w:firstLine="850"/>
        <w:jc w:val="both"/>
        <w:keepLines w:val="0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  <w:u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1) решений о проведении контрольных (надзорных) мероприятий </w:t>
        <w:br/>
        <w:t xml:space="preserve">и обязательных профилактических визитов;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contextualSpacing w:val="0"/>
        <w:ind w:left="0" w:right="0" w:firstLine="850"/>
        <w:jc w:val="both"/>
        <w:keepLines w:val="0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  <w:u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2) актов контрольных (надзорных) мероприятий и обязательных профилактических визитов, предписаний об устранении выявленных нарушений;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contextualSpacing w:val="0"/>
        <w:ind w:left="0" w:right="0" w:firstLine="850"/>
        <w:jc w:val="both"/>
        <w:keepLines w:val="0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  <w:u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3) действий (бездействия) должностных лиц контрольного (надзорного) органа в рамках контрольных (надзорных) мероприятий и обязательных профилактических визитов;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contextualSpacing w:val="0"/>
        <w:ind w:left="0" w:right="0" w:firstLine="850"/>
        <w:jc w:val="both"/>
        <w:keepLines w:val="0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  <w:u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4) решений об отнесении объектов контроля к соответствующей категории риска;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contextualSpacing w:val="0"/>
        <w:ind w:left="0" w:right="0" w:firstLine="850"/>
        <w:jc w:val="both"/>
        <w:keepLines w:val="0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  <w:u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5) решений об отказе в проведении обязательных профилактических визитов по заявлениям контролируемых лиц;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contextualSpacing w:val="0"/>
        <w:ind w:left="0" w:right="0" w:firstLine="850"/>
        <w:jc w:val="both"/>
        <w:keepLines w:val="0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  <w:u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6) иных решений, принимаемых контрольными (надзорными) органами по итогам профилактических и (или) контрольных (надзорных) мероприятий, предусмотренных настоящим Федеральным законом, в отношении контролируемых лиц или объектов контроля.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/>
    </w:p>
    <w:p>
      <w:pPr>
        <w:pStyle w:val="856"/>
        <w:numPr>
          <w:ilvl w:val="0"/>
          <w:numId w:val="17"/>
        </w:numPr>
        <w:contextualSpacing w:val="0"/>
        <w:ind w:left="0" w:right="0" w:firstLine="850"/>
        <w:jc w:val="both"/>
        <w:keepLines w:val="0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п. 6.6. приложения к Постановлению изложить в следующей редакции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  <w:r/>
    </w:p>
    <w:p>
      <w:pPr>
        <w:contextualSpacing w:val="0"/>
        <w:ind w:left="0" w:right="0" w:firstLine="850"/>
        <w:jc w:val="both"/>
        <w:keepLines w:val="0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«Жалоба подлежит рассмотрению уполномоченным на рассмотрение жалобы руководителем (заместителем руководителя) Министерства в срок </w:t>
        <w:br/>
        <w:t xml:space="preserve">не более 15 (пятнадцати) рабочих дней со дня ее регистрации.».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  <w:r/>
    </w:p>
    <w:p>
      <w:pPr>
        <w:pStyle w:val="856"/>
        <w:numPr>
          <w:ilvl w:val="0"/>
          <w:numId w:val="3"/>
        </w:numPr>
        <w:ind w:left="0" w:right="0" w:firstLine="709"/>
        <w:jc w:val="both"/>
        <w:spacing w:before="0" w:after="0" w:line="240" w:lineRule="auto"/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пункт 3 Постановления изложить в следующей редакции «</w:t>
      </w:r>
      <w:r>
        <w:rPr>
          <w:rFonts w:ascii="Times New Roman" w:hAnsi="Times New Roman"/>
          <w:sz w:val="28"/>
          <w:szCs w:val="28"/>
        </w:rPr>
        <w:t xml:space="preserve">Контроль </w:t>
        <w:br/>
        <w:t xml:space="preserve">за исполнением постановления возложить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заместителя Губернатора Белгородской области Зайнуллина Р.Ш.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».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</w:r>
      <w:r/>
    </w:p>
    <w:p>
      <w:pPr>
        <w:pStyle w:val="812"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Контроль за исполнением постановления возложить</w:t>
      </w:r>
      <w:bookmarkStart w:id="0" w:name="_GoBack"/>
      <w:r/>
      <w:bookmarkEnd w:id="0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заместителя Губернатора Белгородской области Зайнуллина Р.Ш.</w:t>
      </w:r>
      <w:r/>
    </w:p>
    <w:p>
      <w:pPr>
        <w:pStyle w:val="812"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Настоящее постановление вступает в силу со дня его официального опубликования.</w:t>
      </w:r>
      <w:r/>
    </w:p>
    <w:p>
      <w:pPr>
        <w:pStyle w:val="885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/>
    </w:p>
    <w:tbl>
      <w:tblPr>
        <w:tblW w:w="9889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898"/>
        <w:gridCol w:w="4990"/>
      </w:tblGrid>
      <w:tr>
        <w:trPr/>
        <w:tc>
          <w:tcPr>
            <w:shd w:val="clear" w:color="auto" w:fill="auto"/>
            <w:tcW w:w="4898" w:type="dxa"/>
            <w:textDirection w:val="lrTb"/>
            <w:noWrap w:val="false"/>
          </w:tcPr>
          <w:p>
            <w:pPr>
              <w:pStyle w:val="885"/>
              <w:ind w:firstLine="709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Губернатор</w:t>
            </w:r>
            <w:r/>
          </w:p>
          <w:p>
            <w:pPr>
              <w:pStyle w:val="885"/>
              <w:rPr>
                <w:szCs w:val="28"/>
              </w:rPr>
            </w:pPr>
            <w:r>
              <w:rPr>
                <w:b/>
                <w:bCs/>
                <w:szCs w:val="28"/>
              </w:rPr>
              <w:t xml:space="preserve">Белгородской области</w:t>
            </w:r>
            <w:r/>
          </w:p>
        </w:tc>
        <w:tc>
          <w:tcPr>
            <w:shd w:val="clear" w:color="auto" w:fill="auto"/>
            <w:tcW w:w="4990" w:type="dxa"/>
            <w:vAlign w:val="bottom"/>
            <w:textDirection w:val="lrTb"/>
            <w:noWrap w:val="false"/>
          </w:tcPr>
          <w:p>
            <w:pPr>
              <w:pStyle w:val="885"/>
              <w:jc w:val="right"/>
              <w:rPr>
                <w:szCs w:val="28"/>
              </w:rPr>
            </w:pPr>
            <w:r>
              <w:rPr>
                <w:b/>
                <w:bCs/>
                <w:szCs w:val="28"/>
              </w:rPr>
              <w:t xml:space="preserve">В.В. Гладков</w:t>
            </w:r>
            <w:r/>
          </w:p>
        </w:tc>
      </w:tr>
    </w:tbl>
    <w:p>
      <w:pPr>
        <w:pStyle w:val="812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567" w:bottom="680" w:left="1701" w:header="567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Symbol">
    <w:panose1 w:val="05010000000000000000"/>
  </w:font>
  <w:font w:name="PT Sans">
    <w:panose1 w:val="020B0503020203020204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Noto Sans Devanagari">
    <w:panose1 w:val="020B0502040504020204"/>
  </w:font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0"/>
      <w:ind w:left="-142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2</w:t>
    </w:r>
    <w:r>
      <w:rPr>
        <w:rFonts w:ascii="Times New Roman" w:hAnsi="Times New Roman"/>
        <w:sz w:val="24"/>
        <w:szCs w:val="24"/>
      </w:rPr>
      <w:fldChar w:fldCharType="end"/>
    </w:r>
    <w:r/>
  </w:p>
  <w:p>
    <w:pPr>
      <w:pStyle w:val="880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55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27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99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71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3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15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87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9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319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55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27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99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71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3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15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87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9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319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8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2" w:default="1">
    <w:name w:val="Normal"/>
    <w:qFormat/>
    <w:pPr>
      <w:jc w:val="left"/>
      <w:spacing w:before="0" w:after="160" w:line="259" w:lineRule="auto"/>
      <w:widowControl/>
    </w:pPr>
    <w:rPr>
      <w:rFonts w:ascii="Calibri" w:hAnsi="Calibri" w:eastAsia="Calibri" w:cs="Times New Roman"/>
      <w:color w:val="auto"/>
      <w:sz w:val="22"/>
      <w:szCs w:val="22"/>
      <w:lang w:val="ru-RU" w:eastAsia="en-US" w:bidi="ar-SA"/>
    </w:rPr>
  </w:style>
  <w:style w:type="paragraph" w:styleId="813">
    <w:name w:val="Heading 1"/>
    <w:basedOn w:val="81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14">
    <w:name w:val="Heading 2"/>
    <w:basedOn w:val="81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15">
    <w:name w:val="Heading 3"/>
    <w:basedOn w:val="81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16">
    <w:name w:val="Heading 4"/>
    <w:basedOn w:val="81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17">
    <w:name w:val="Heading 5"/>
    <w:basedOn w:val="81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18">
    <w:name w:val="Heading 6"/>
    <w:basedOn w:val="81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19">
    <w:name w:val="Heading 7"/>
    <w:basedOn w:val="81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20">
    <w:name w:val="Heading 8"/>
    <w:basedOn w:val="81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21">
    <w:name w:val="Heading 9"/>
    <w:basedOn w:val="81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22">
    <w:name w:val="Heading 1 Char"/>
    <w:basedOn w:val="845"/>
    <w:uiPriority w:val="9"/>
    <w:qFormat/>
    <w:rPr>
      <w:rFonts w:ascii="Arial" w:hAnsi="Arial" w:eastAsia="Arial" w:cs="Arial"/>
      <w:sz w:val="40"/>
      <w:szCs w:val="40"/>
    </w:rPr>
  </w:style>
  <w:style w:type="character" w:styleId="823">
    <w:name w:val="Heading 2 Char"/>
    <w:basedOn w:val="845"/>
    <w:uiPriority w:val="9"/>
    <w:qFormat/>
    <w:rPr>
      <w:rFonts w:ascii="Arial" w:hAnsi="Arial" w:eastAsia="Arial" w:cs="Arial"/>
      <w:sz w:val="34"/>
    </w:rPr>
  </w:style>
  <w:style w:type="character" w:styleId="824">
    <w:name w:val="Heading 3 Char"/>
    <w:basedOn w:val="845"/>
    <w:uiPriority w:val="9"/>
    <w:qFormat/>
    <w:rPr>
      <w:rFonts w:ascii="Arial" w:hAnsi="Arial" w:eastAsia="Arial" w:cs="Arial"/>
      <w:sz w:val="30"/>
      <w:szCs w:val="30"/>
    </w:rPr>
  </w:style>
  <w:style w:type="character" w:styleId="825">
    <w:name w:val="Heading 4 Char"/>
    <w:basedOn w:val="845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26">
    <w:name w:val="Heading 5 Char"/>
    <w:basedOn w:val="845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27">
    <w:name w:val="Heading 6 Char"/>
    <w:basedOn w:val="845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28">
    <w:name w:val="Heading 7 Char"/>
    <w:basedOn w:val="845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29">
    <w:name w:val="Heading 8 Char"/>
    <w:basedOn w:val="845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30">
    <w:name w:val="Heading 9 Char"/>
    <w:basedOn w:val="845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31">
    <w:name w:val="Title Char"/>
    <w:basedOn w:val="845"/>
    <w:uiPriority w:val="10"/>
    <w:qFormat/>
    <w:rPr>
      <w:sz w:val="48"/>
      <w:szCs w:val="48"/>
    </w:rPr>
  </w:style>
  <w:style w:type="character" w:styleId="832">
    <w:name w:val="Subtitle Char"/>
    <w:basedOn w:val="845"/>
    <w:uiPriority w:val="11"/>
    <w:qFormat/>
    <w:rPr>
      <w:sz w:val="24"/>
      <w:szCs w:val="24"/>
    </w:rPr>
  </w:style>
  <w:style w:type="character" w:styleId="833">
    <w:name w:val="Quote Char"/>
    <w:uiPriority w:val="29"/>
    <w:qFormat/>
    <w:rPr>
      <w:i/>
    </w:rPr>
  </w:style>
  <w:style w:type="character" w:styleId="834">
    <w:name w:val="Intense Quote Char"/>
    <w:uiPriority w:val="30"/>
    <w:qFormat/>
    <w:rPr>
      <w:i/>
    </w:rPr>
  </w:style>
  <w:style w:type="character" w:styleId="835">
    <w:name w:val="Header Char"/>
    <w:basedOn w:val="845"/>
    <w:uiPriority w:val="99"/>
    <w:qFormat/>
  </w:style>
  <w:style w:type="character" w:styleId="836">
    <w:name w:val="Footer Char"/>
    <w:basedOn w:val="845"/>
    <w:uiPriority w:val="99"/>
    <w:qFormat/>
  </w:style>
  <w:style w:type="character" w:styleId="837">
    <w:name w:val="Caption Char"/>
    <w:uiPriority w:val="99"/>
    <w:qFormat/>
  </w:style>
  <w:style w:type="character" w:styleId="838">
    <w:name w:val="Hyperlink"/>
    <w:uiPriority w:val="99"/>
    <w:unhideWhenUsed/>
    <w:rPr>
      <w:color w:val="0000ff" w:themeColor="hyperlink"/>
      <w:u w:val="single"/>
    </w:rPr>
  </w:style>
  <w:style w:type="character" w:styleId="839">
    <w:name w:val="Footnote Text Char"/>
    <w:uiPriority w:val="99"/>
    <w:qFormat/>
    <w:rPr>
      <w:sz w:val="18"/>
    </w:rPr>
  </w:style>
  <w:style w:type="character" w:styleId="840">
    <w:name w:val="Символ сноски"/>
    <w:uiPriority w:val="99"/>
    <w:unhideWhenUsed/>
    <w:qFormat/>
    <w:rPr>
      <w:vertAlign w:val="superscript"/>
    </w:rPr>
  </w:style>
  <w:style w:type="character" w:styleId="841">
    <w:name w:val="footnote reference"/>
    <w:rPr>
      <w:vertAlign w:val="superscript"/>
    </w:rPr>
  </w:style>
  <w:style w:type="character" w:styleId="842">
    <w:name w:val="Endnote Text Char"/>
    <w:uiPriority w:val="99"/>
    <w:qFormat/>
    <w:rPr>
      <w:sz w:val="20"/>
    </w:rPr>
  </w:style>
  <w:style w:type="character" w:styleId="843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844">
    <w:name w:val="endnote reference"/>
    <w:rPr>
      <w:vertAlign w:val="superscript"/>
    </w:rPr>
  </w:style>
  <w:style w:type="character" w:styleId="845" w:default="1">
    <w:name w:val="Default Paragraph Font"/>
    <w:uiPriority w:val="1"/>
    <w:semiHidden/>
    <w:unhideWhenUsed/>
    <w:qFormat/>
  </w:style>
  <w:style w:type="character" w:styleId="846" w:customStyle="1">
    <w:name w:val="Текст выноски Знак"/>
    <w:uiPriority w:val="99"/>
    <w:semiHidden/>
    <w:qFormat/>
    <w:rPr>
      <w:rFonts w:ascii="Segoe UI" w:hAnsi="Segoe UI" w:cs="Segoe UI"/>
      <w:sz w:val="18"/>
      <w:szCs w:val="18"/>
    </w:rPr>
  </w:style>
  <w:style w:type="character" w:styleId="847" w:customStyle="1">
    <w:name w:val="Верхний колонтитул Знак"/>
    <w:basedOn w:val="845"/>
    <w:uiPriority w:val="99"/>
    <w:qFormat/>
  </w:style>
  <w:style w:type="character" w:styleId="848" w:customStyle="1">
    <w:name w:val="Нижний колонтитул Знак"/>
    <w:basedOn w:val="845"/>
    <w:uiPriority w:val="99"/>
    <w:qFormat/>
  </w:style>
  <w:style w:type="character" w:styleId="849" w:customStyle="1">
    <w:name w:val="Основной текст 2 Знак"/>
    <w:qFormat/>
    <w:rPr>
      <w:rFonts w:ascii="Times New Roman" w:hAnsi="Times New Roman" w:eastAsia="Times New Roman"/>
      <w:sz w:val="28"/>
    </w:rPr>
  </w:style>
  <w:style w:type="character" w:styleId="850" w:customStyle="1">
    <w:name w:val="Основной текст 3 Знак"/>
    <w:uiPriority w:val="99"/>
    <w:semiHidden/>
    <w:qFormat/>
    <w:rPr>
      <w:sz w:val="16"/>
      <w:szCs w:val="16"/>
      <w:lang w:eastAsia="en-US"/>
    </w:rPr>
  </w:style>
  <w:style w:type="paragraph" w:styleId="851">
    <w:name w:val="Заголовок"/>
    <w:basedOn w:val="812"/>
    <w:next w:val="852"/>
    <w:qFormat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852">
    <w:name w:val="Body Text"/>
    <w:basedOn w:val="812"/>
    <w:pPr>
      <w:spacing w:before="0" w:after="140" w:line="276" w:lineRule="auto"/>
    </w:pPr>
  </w:style>
  <w:style w:type="paragraph" w:styleId="853">
    <w:name w:val="List"/>
    <w:basedOn w:val="852"/>
    <w:rPr>
      <w:rFonts w:ascii="PT Astra Serif" w:hAnsi="PT Astra Serif" w:cs="Noto Sans Devanagari"/>
    </w:rPr>
  </w:style>
  <w:style w:type="paragraph" w:styleId="854">
    <w:name w:val="Caption"/>
    <w:basedOn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855">
    <w:name w:val="Указатель"/>
    <w:basedOn w:val="812"/>
    <w:qFormat/>
    <w:pPr>
      <w:suppressLineNumbers/>
    </w:pPr>
    <w:rPr>
      <w:rFonts w:ascii="PT Astra Serif" w:hAnsi="PT Astra Serif" w:cs="Noto Sans Devanagari"/>
    </w:rPr>
  </w:style>
  <w:style w:type="paragraph" w:styleId="856">
    <w:name w:val="List Paragraph"/>
    <w:basedOn w:val="812"/>
    <w:uiPriority w:val="34"/>
    <w:qFormat/>
    <w:pPr>
      <w:contextualSpacing/>
      <w:ind w:left="720"/>
      <w:spacing w:before="0" w:after="0"/>
    </w:pPr>
  </w:style>
  <w:style w:type="paragraph" w:styleId="857">
    <w:name w:val="No Spacing"/>
    <w:uiPriority w:val="1"/>
    <w:qFormat/>
    <w:pPr>
      <w:jc w:val="left"/>
      <w:spacing w:before="0" w:after="0" w:line="240" w:lineRule="auto"/>
      <w:widowControl/>
    </w:pPr>
    <w:rPr>
      <w:rFonts w:ascii="Calibri" w:hAnsi="Calibri" w:eastAsia="Calibri" w:cs="Times New Roman"/>
      <w:color w:val="auto"/>
      <w:sz w:val="20"/>
      <w:szCs w:val="20"/>
      <w:lang w:val="ru-RU" w:eastAsia="ru-RU" w:bidi="ar-SA"/>
    </w:rPr>
  </w:style>
  <w:style w:type="paragraph" w:styleId="858">
    <w:name w:val="Title"/>
    <w:basedOn w:val="812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59">
    <w:name w:val="Subtitle"/>
    <w:basedOn w:val="812"/>
    <w:uiPriority w:val="11"/>
    <w:qFormat/>
    <w:pPr>
      <w:spacing w:before="200" w:after="200"/>
    </w:pPr>
    <w:rPr>
      <w:sz w:val="24"/>
      <w:szCs w:val="24"/>
    </w:rPr>
  </w:style>
  <w:style w:type="paragraph" w:styleId="860">
    <w:name w:val="Quote"/>
    <w:basedOn w:val="812"/>
    <w:uiPriority w:val="29"/>
    <w:qFormat/>
    <w:pPr>
      <w:ind w:left="720" w:right="720"/>
    </w:pPr>
    <w:rPr>
      <w:i/>
    </w:rPr>
  </w:style>
  <w:style w:type="paragraph" w:styleId="861">
    <w:name w:val="Intense Quote"/>
    <w:basedOn w:val="812"/>
    <w:uiPriority w:val="30"/>
    <w:qFormat/>
    <w:pPr>
      <w:ind w:left="720" w:right="72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62">
    <w:name w:val="footnote text"/>
    <w:basedOn w:val="812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63">
    <w:name w:val="endnote text"/>
    <w:basedOn w:val="812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64">
    <w:name w:val="toc 1"/>
    <w:basedOn w:val="812"/>
    <w:uiPriority w:val="39"/>
    <w:unhideWhenUsed/>
    <w:pPr>
      <w:ind w:left="0" w:right="0" w:firstLine="0"/>
      <w:spacing w:before="0" w:after="57"/>
    </w:pPr>
  </w:style>
  <w:style w:type="paragraph" w:styleId="865">
    <w:name w:val="toc 2"/>
    <w:basedOn w:val="812"/>
    <w:uiPriority w:val="39"/>
    <w:unhideWhenUsed/>
    <w:pPr>
      <w:ind w:left="283" w:right="0" w:firstLine="0"/>
      <w:spacing w:before="0" w:after="57"/>
    </w:pPr>
  </w:style>
  <w:style w:type="paragraph" w:styleId="866">
    <w:name w:val="toc 3"/>
    <w:basedOn w:val="812"/>
    <w:uiPriority w:val="39"/>
    <w:unhideWhenUsed/>
    <w:pPr>
      <w:ind w:left="567" w:right="0" w:firstLine="0"/>
      <w:spacing w:before="0" w:after="57"/>
    </w:pPr>
  </w:style>
  <w:style w:type="paragraph" w:styleId="867">
    <w:name w:val="toc 4"/>
    <w:basedOn w:val="812"/>
    <w:uiPriority w:val="39"/>
    <w:unhideWhenUsed/>
    <w:pPr>
      <w:ind w:left="850" w:right="0" w:firstLine="0"/>
      <w:spacing w:before="0" w:after="57"/>
    </w:pPr>
  </w:style>
  <w:style w:type="paragraph" w:styleId="868">
    <w:name w:val="toc 5"/>
    <w:basedOn w:val="812"/>
    <w:uiPriority w:val="39"/>
    <w:unhideWhenUsed/>
    <w:pPr>
      <w:ind w:left="1134" w:right="0" w:firstLine="0"/>
      <w:spacing w:before="0" w:after="57"/>
    </w:pPr>
  </w:style>
  <w:style w:type="paragraph" w:styleId="869">
    <w:name w:val="toc 6"/>
    <w:basedOn w:val="812"/>
    <w:uiPriority w:val="39"/>
    <w:unhideWhenUsed/>
    <w:pPr>
      <w:ind w:left="1417" w:right="0" w:firstLine="0"/>
      <w:spacing w:before="0" w:after="57"/>
    </w:pPr>
  </w:style>
  <w:style w:type="paragraph" w:styleId="870">
    <w:name w:val="toc 7"/>
    <w:basedOn w:val="812"/>
    <w:uiPriority w:val="39"/>
    <w:unhideWhenUsed/>
    <w:pPr>
      <w:ind w:left="1701" w:right="0" w:firstLine="0"/>
      <w:spacing w:before="0" w:after="57"/>
    </w:pPr>
  </w:style>
  <w:style w:type="paragraph" w:styleId="871">
    <w:name w:val="toc 8"/>
    <w:basedOn w:val="812"/>
    <w:uiPriority w:val="39"/>
    <w:unhideWhenUsed/>
    <w:pPr>
      <w:ind w:left="1984" w:right="0" w:firstLine="0"/>
      <w:spacing w:before="0" w:after="57"/>
    </w:pPr>
  </w:style>
  <w:style w:type="paragraph" w:styleId="872">
    <w:name w:val="toc 9"/>
    <w:basedOn w:val="812"/>
    <w:uiPriority w:val="39"/>
    <w:unhideWhenUsed/>
    <w:pPr>
      <w:ind w:left="2268" w:right="0" w:firstLine="0"/>
      <w:spacing w:before="0" w:after="57"/>
    </w:pPr>
  </w:style>
  <w:style w:type="paragraph" w:styleId="873">
    <w:name w:val="Index Heading"/>
    <w:basedOn w:val="851"/>
  </w:style>
  <w:style w:type="paragraph" w:styleId="874">
    <w:name w:val="TOC Heading"/>
    <w:uiPriority w:val="39"/>
    <w:unhideWhenUsed/>
    <w:qFormat/>
    <w:pPr>
      <w:jc w:val="left"/>
      <w:spacing w:before="0" w:after="0"/>
      <w:widowControl/>
    </w:pPr>
    <w:rPr>
      <w:rFonts w:ascii="Calibri" w:hAnsi="Calibri" w:eastAsia="Calibri" w:cs="Times New Roman"/>
      <w:color w:val="auto"/>
      <w:sz w:val="20"/>
      <w:szCs w:val="20"/>
      <w:lang w:val="ru-RU" w:eastAsia="ru-RU" w:bidi="ar-SA"/>
    </w:rPr>
  </w:style>
  <w:style w:type="paragraph" w:styleId="875">
    <w:name w:val="table of figures"/>
    <w:basedOn w:val="812"/>
    <w:uiPriority w:val="99"/>
    <w:unhideWhenUsed/>
    <w:pPr>
      <w:spacing w:before="0" w:after="0" w:afterAutospacing="0"/>
    </w:pPr>
  </w:style>
  <w:style w:type="paragraph" w:styleId="876" w:customStyle="1">
    <w:name w:val="ConsPlusNormal"/>
    <w:qFormat/>
    <w:pPr>
      <w:jc w:val="left"/>
      <w:spacing w:before="0" w:after="0"/>
      <w:widowControl/>
    </w:pPr>
    <w:rPr>
      <w:rFonts w:ascii="Arial" w:hAnsi="Arial" w:eastAsia="Calibri" w:cs="Arial"/>
      <w:color w:val="auto"/>
      <w:sz w:val="20"/>
      <w:szCs w:val="20"/>
      <w:lang w:val="ru-RU" w:eastAsia="en-US" w:bidi="ar-SA"/>
    </w:rPr>
  </w:style>
  <w:style w:type="paragraph" w:styleId="877">
    <w:name w:val="Balloon Text"/>
    <w:basedOn w:val="812"/>
    <w:uiPriority w:val="99"/>
    <w:semiHidden/>
    <w:unhideWhenUsed/>
    <w:qFormat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878" w:customStyle="1">
    <w:name w:val="ConsPlusCell"/>
    <w:uiPriority w:val="99"/>
    <w:qFormat/>
    <w:pPr>
      <w:jc w:val="left"/>
      <w:spacing w:before="0" w:after="0"/>
      <w:widowControl/>
    </w:pPr>
    <w:rPr>
      <w:rFonts w:ascii="Courier New" w:hAnsi="Courier New" w:eastAsia="Calibri" w:cs="Courier New"/>
      <w:color w:val="auto"/>
      <w:sz w:val="20"/>
      <w:szCs w:val="20"/>
      <w:lang w:val="ru-RU" w:eastAsia="en-US" w:bidi="ar-SA"/>
    </w:rPr>
  </w:style>
  <w:style w:type="paragraph" w:styleId="879">
    <w:name w:val="Колонтитул"/>
    <w:basedOn w:val="812"/>
    <w:qFormat/>
  </w:style>
  <w:style w:type="paragraph" w:styleId="880">
    <w:name w:val="Header"/>
    <w:basedOn w:val="812"/>
    <w:uiPriority w:val="99"/>
    <w:unhideWhenUsed/>
    <w:pPr>
      <w:spacing w:before="0" w:after="0" w:line="240" w:lineRule="auto"/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881">
    <w:name w:val="Footer"/>
    <w:basedOn w:val="812"/>
    <w:uiPriority w:val="99"/>
    <w:unhideWhenUsed/>
    <w:pPr>
      <w:spacing w:before="0" w:after="0" w:line="240" w:lineRule="auto"/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882" w:customStyle="1">
    <w:name w:val="ConsPlusNonformat"/>
    <w:qFormat/>
    <w:pPr>
      <w:jc w:val="left"/>
      <w:spacing w:before="0" w:after="0"/>
      <w:widowControl w:val="off"/>
    </w:pPr>
    <w:rPr>
      <w:rFonts w:ascii="Courier New" w:hAnsi="Courier New" w:eastAsia="Times New Roman" w:cs="Courier New"/>
      <w:color w:val="auto"/>
      <w:sz w:val="20"/>
      <w:szCs w:val="20"/>
      <w:lang w:val="ru-RU" w:eastAsia="ru-RU" w:bidi="ar-SA"/>
    </w:rPr>
  </w:style>
  <w:style w:type="paragraph" w:styleId="883">
    <w:name w:val="Normal (Web)"/>
    <w:basedOn w:val="812"/>
    <w:uiPriority w:val="99"/>
    <w:qFormat/>
    <w:pPr>
      <w:spacing w:beforeAutospacing="1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84" w:customStyle="1">
    <w:name w:val="ConsPlusTitle"/>
    <w:qFormat/>
    <w:pPr>
      <w:jc w:val="left"/>
      <w:spacing w:before="0" w:after="0"/>
      <w:widowControl w:val="off"/>
    </w:pPr>
    <w:rPr>
      <w:rFonts w:ascii="Calibri" w:hAnsi="Calibri" w:eastAsia="Times New Roman" w:cs="Calibri"/>
      <w:b/>
      <w:color w:val="auto"/>
      <w:sz w:val="22"/>
      <w:szCs w:val="20"/>
      <w:lang w:val="ru-RU" w:eastAsia="ru-RU" w:bidi="ar-SA"/>
    </w:rPr>
  </w:style>
  <w:style w:type="paragraph" w:styleId="885">
    <w:name w:val="Body Text 2"/>
    <w:basedOn w:val="812"/>
    <w:qFormat/>
    <w:pPr>
      <w:jc w:val="both"/>
      <w:spacing w:before="0" w:after="0" w:line="240" w:lineRule="auto"/>
    </w:pPr>
    <w:rPr>
      <w:rFonts w:ascii="Times New Roman" w:hAnsi="Times New Roman" w:eastAsia="Times New Roman"/>
      <w:sz w:val="28"/>
      <w:szCs w:val="20"/>
      <w:lang w:eastAsia="ru-RU"/>
    </w:rPr>
  </w:style>
  <w:style w:type="paragraph" w:styleId="886">
    <w:name w:val="Body Text 3"/>
    <w:basedOn w:val="812"/>
    <w:uiPriority w:val="99"/>
    <w:semiHidden/>
    <w:unhideWhenUsed/>
    <w:qFormat/>
    <w:pPr>
      <w:spacing w:before="0" w:after="120"/>
    </w:pPr>
    <w:rPr>
      <w:sz w:val="16"/>
      <w:szCs w:val="16"/>
    </w:rPr>
  </w:style>
  <w:style w:type="numbering" w:styleId="887" w:default="1">
    <w:name w:val="No List"/>
    <w:uiPriority w:val="99"/>
    <w:semiHidden/>
    <w:unhideWhenUsed/>
    <w:qFormat/>
  </w:style>
  <w:style w:type="table" w:styleId="888" w:default="1">
    <w:name w:val="Normal Table"/>
    <w:uiPriority w:val="99"/>
    <w:semiHidden/>
    <w:unhideWhenUsed/>
    <w:tblPr/>
  </w:style>
  <w:style w:type="paragraph" w:styleId="889" w:customStyle="1">
    <w:name w:val="Body Text Indent"/>
    <w:basedOn w:val="859"/>
    <w:link w:val="875"/>
    <w:pPr>
      <w:contextualSpacing w:val="0"/>
      <w:ind w:left="283" w:right="0" w:firstLine="0"/>
      <w:jc w:val="left"/>
      <w:keepLines w:val="0"/>
      <w:keepNext w:val="0"/>
      <w:pageBreakBefore w:val="0"/>
      <w:spacing w:before="0" w:beforeAutospacing="0" w:after="12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https://internet.garant.ru/document/redirect/402958486/0" TargetMode="External"/><Relationship Id="rId12" Type="http://schemas.openxmlformats.org/officeDocument/2006/relationships/hyperlink" Target="https://internet.garant.ru/#/document/74449814/entry/4806" TargetMode="External"/><Relationship Id="rId13" Type="http://schemas.openxmlformats.org/officeDocument/2006/relationships/hyperlink" Target="https://internet.garant.ru/#/document/74449814/entry/4807" TargetMode="External"/><Relationship Id="rId14" Type="http://schemas.openxmlformats.org/officeDocument/2006/relationships/hyperlink" Target="https://internet.garant.ru/#/document/74449814/entry/2502" TargetMode="External"/><Relationship Id="rId15" Type="http://schemas.openxmlformats.org/officeDocument/2006/relationships/hyperlink" Target="https://internet.garant.ru/#/document/12164247/entry/8" TargetMode="External"/><Relationship Id="rId16" Type="http://schemas.openxmlformats.org/officeDocument/2006/relationships/hyperlink" Target="https://internet.garant.ru/#/document/403681894/entry/114" TargetMode="External"/><Relationship Id="rId17" Type="http://schemas.openxmlformats.org/officeDocument/2006/relationships/hyperlink" Target="https://internet.garant.ru/#/document/74449814/entry/88" TargetMode="External"/><Relationship Id="rId18" Type="http://schemas.openxmlformats.org/officeDocument/2006/relationships/hyperlink" Target="https://internet.garant.ru/#/document/74449814/entry/6510" TargetMode="External"/><Relationship Id="rId19" Type="http://schemas.openxmlformats.org/officeDocument/2006/relationships/hyperlink" Target="https://internet.garant.ru/#/document/74449814/entry/9010" TargetMode="External"/><Relationship Id="rId20" Type="http://schemas.openxmlformats.org/officeDocument/2006/relationships/hyperlink" Target="https://www.gosuslugi.ru/" TargetMode="External"/><Relationship Id="rId21" Type="http://schemas.openxmlformats.org/officeDocument/2006/relationships/hyperlink" Target="https://internet.garant.ru/#/document/74449814/entry/60" TargetMode="External"/><Relationship Id="rId22" Type="http://schemas.openxmlformats.org/officeDocument/2006/relationships/hyperlink" Target="https://internet.garant.ru/#/document/74449814/entry/9501" TargetMode="External"/><Relationship Id="rId23" Type="http://schemas.openxmlformats.org/officeDocument/2006/relationships/hyperlink" Target="https://internet.garant.ru/#/multilink/74449814/paragraph/385166/number/0" TargetMode="External"/><Relationship Id="rId24" Type="http://schemas.openxmlformats.org/officeDocument/2006/relationships/hyperlink" Target="https://internet.garant.ru/#/document/12164247/entry/81" TargetMode="External"/><Relationship Id="rId25" Type="http://schemas.openxmlformats.org/officeDocument/2006/relationships/hyperlink" Target="https://internet.garant.ru/#/document/12185475/entry/12016" TargetMode="External"/><Relationship Id="rId26" Type="http://schemas.openxmlformats.org/officeDocument/2006/relationships/hyperlink" Target="https://internet.garant.ru/#/document/12185475/entry/120111" TargetMode="External"/><Relationship Id="rId27" Type="http://schemas.openxmlformats.org/officeDocument/2006/relationships/hyperlink" Target="https://internet.garant.ru/#/document/12185475/entry/120112" TargetMode="External"/><Relationship Id="rId28" Type="http://schemas.openxmlformats.org/officeDocument/2006/relationships/hyperlink" Target="https://internet.garant.ru/#/document/12185475/entry/120114" TargetMode="External"/><Relationship Id="rId29" Type="http://schemas.openxmlformats.org/officeDocument/2006/relationships/hyperlink" Target="https://internet.garant.ru/#/document/12185475/entry/120119" TargetMode="External"/><Relationship Id="rId30" Type="http://schemas.openxmlformats.org/officeDocument/2006/relationships/hyperlink" Target="https://internet.garant.ru/#/document/12185475/entry/120124" TargetMode="External"/><Relationship Id="rId31" Type="http://schemas.openxmlformats.org/officeDocument/2006/relationships/hyperlink" Target="https://internet.garant.ru/#/document/12185475/entry/120134" TargetMode="External"/><Relationship Id="rId32" Type="http://schemas.openxmlformats.org/officeDocument/2006/relationships/hyperlink" Target="https://internet.garant.ru/#/document/12185475/entry/120139" TargetMode="External"/><Relationship Id="rId33" Type="http://schemas.openxmlformats.org/officeDocument/2006/relationships/hyperlink" Target="https://internet.garant.ru/#/document/12185475/entry/120140" TargetMode="External"/><Relationship Id="rId34" Type="http://schemas.openxmlformats.org/officeDocument/2006/relationships/hyperlink" Target="https://internet.garant.ru/#/document/12185475/entry/120142" TargetMode="External"/><Relationship Id="rId35" Type="http://schemas.openxmlformats.org/officeDocument/2006/relationships/hyperlink" Target="https://internet.garant.ru/#/document/12185475/entry/120159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F46D07-166F-48DF-B63B-DFD0528AB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БОФПМСП ОПО</dc:creator>
  <dc:description/>
  <dc:language>ru-RU</dc:language>
  <cp:revision>22</cp:revision>
  <dcterms:created xsi:type="dcterms:W3CDTF">2022-01-25T12:50:00Z</dcterms:created>
  <dcterms:modified xsi:type="dcterms:W3CDTF">2025-04-30T07:10:11Z</dcterms:modified>
</cp:coreProperties>
</file>