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5" w:right="24" w:firstLine="0"/>
        <w:jc w:val="center"/>
        <w:spacing w:after="971"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Приложение </w:t>
        <w:br/>
        <w:t xml:space="preserve">к постановлению Правительства Белгородской области </w:t>
        <w:br/>
        <w:t xml:space="preserve">от «___»______________года № ____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PT Sans" w:cs="Times New Roman"/>
          <w:b/>
          <w:bCs/>
          <w:color w:val="000000" w:themeColor="text1"/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зработки, согласования и утверждения </w:t>
        <w:br/>
        <w:t xml:space="preserve">проектов организации дорожного движения для автомобильных дорог регионального, межмуниципального, местного значения, а также изменений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  <w:r>
        <w:rPr>
          <w:rFonts w:ascii="Times New Roman" w:hAnsi="Times New Roman" w:cs="Times New Roman"/>
          <w:b/>
          <w:bCs/>
          <w:sz w:val="28"/>
          <w:szCs w:val="28"/>
        </w:rPr>
        <w:t xml:space="preserve">в указанные проекты организации дорожного движения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3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разработки, согласования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утверждения проектов организации дорожного движения для автомобильных дорог регионального, межмуниципального, местного значения, изменений в указанные проекты организации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Порядок, </w:t>
      </w:r>
      <w:r>
        <w:rPr>
          <w:rFonts w:ascii="Times New Roman" w:hAnsi="Times New Roman" w:cs="Times New Roman"/>
          <w:sz w:val="28"/>
          <w:szCs w:val="28"/>
        </w:rPr>
        <w:t xml:space="preserve">ПОДД</w:t>
      </w:r>
      <w:r>
        <w:rPr>
          <w:rFonts w:ascii="Times New Roman" w:hAnsi="Times New Roman" w:cs="Times New Roman"/>
          <w:sz w:val="28"/>
          <w:szCs w:val="28"/>
        </w:rPr>
        <w:t xml:space="preserve">) разработан </w:t>
        <w:br/>
        <w:t xml:space="preserve">в соответствии с Федеральным законом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 (далее – Фе</w:t>
      </w:r>
      <w:r>
        <w:rPr>
          <w:rFonts w:ascii="Times New Roman" w:hAnsi="Times New Roman" w:cs="Times New Roman"/>
          <w:sz w:val="28"/>
          <w:szCs w:val="28"/>
        </w:rPr>
        <w:t xml:space="preserve">деральный закон) и определяет порядок разработки, согласования </w:t>
        <w:br/>
        <w:t xml:space="preserve">с органами и организациями, </w:t>
      </w:r>
      <w:r>
        <w:rPr>
          <w:rFonts w:ascii="Times New Roman" w:hAnsi="Times New Roman" w:cs="Times New Roman"/>
          <w:sz w:val="28"/>
          <w:szCs w:val="28"/>
        </w:rPr>
        <w:t xml:space="preserve">указанными в пункте 2 части 8, пунктах 2</w:t>
        <w:br/>
        <w:t xml:space="preserve">и 3 части 9, пунктах 2 и 3 части 9.1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(далее – органы и организации, рассматривающие </w:t>
      </w:r>
      <w:r>
        <w:rPr>
          <w:rFonts w:ascii="Times New Roman" w:hAnsi="Times New Roman" w:cs="Times New Roman"/>
          <w:sz w:val="28"/>
          <w:szCs w:val="28"/>
        </w:rPr>
        <w:t xml:space="preserve">ПОДД</w:t>
      </w:r>
      <w:r>
        <w:rPr>
          <w:rFonts w:ascii="Times New Roman" w:hAnsi="Times New Roman" w:cs="Times New Roman"/>
          <w:sz w:val="28"/>
          <w:szCs w:val="28"/>
        </w:rPr>
        <w:t xml:space="preserve">), и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ПОДД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Разработк</w:t>
      </w:r>
      <w:r>
        <w:rPr>
          <w:rFonts w:ascii="Times New Roman" w:hAnsi="Times New Roman" w:cs="Times New Roman"/>
          <w:sz w:val="28"/>
          <w:szCs w:val="28"/>
        </w:rPr>
        <w:t xml:space="preserve">у, 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утверждение ПОДД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автомобильных дорог регионального, межмуниципального, местного значения,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и Порядка.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областное государственное казенное учреждение «Управление дорожного хозяйства и транспорта Белгородской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либо организации, осуществляющие разработку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ОДД (далее – разработчик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ОДД), представляют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ОДД на согласование в органы </w:t>
        <w:br/>
        <w:t xml:space="preserve">и организации, рассматривающие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ОДД с сопроводительным письмом </w:t>
        <w:br/>
        <w:t xml:space="preserve">на бумажном носителе или в виде электронного документа.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Срок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ОДД органами и организациями, рассматривающими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ОДД, не может превышать </w:t>
      </w:r>
      <w:r>
        <w:rPr>
          <w:rFonts w:ascii="Times New Roman" w:hAnsi="Times New Roman" w:cs="Times New Roman"/>
          <w:sz w:val="28"/>
          <w:szCs w:val="28"/>
        </w:rPr>
        <w:t xml:space="preserve">тридцати дней со дня поступления на 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По итогам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ОДД органы и организации, рассматривающие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ОДД, направляют разработчику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ОДД ответ </w:t>
        <w:br/>
        <w:t xml:space="preserve">в письменной форме или в форме электронного документа.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Ответ должен содержать информацию о согласовании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ОДД </w:t>
        <w:br/>
        <w:t xml:space="preserve">или об отказе </w:t>
      </w:r>
      <w:r>
        <w:rPr>
          <w:rFonts w:ascii="Times New Roman" w:hAnsi="Times New Roman" w:cs="Times New Roman"/>
          <w:sz w:val="28"/>
          <w:szCs w:val="28"/>
        </w:rPr>
        <w:t xml:space="preserve">в согласовании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ОДД с указанием замечаний.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Основанием для отказа в согласовании КСОДД является </w:t>
        <w:br/>
        <w:t xml:space="preserve">его несоответствие требованиям: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нормативных правовых актов, изданных в соответствии с Федеральным законом;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документов по стандартизации в области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дорожного движения, включенных в перечень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Федерации, утвержденный распоряжением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  <w:br/>
        <w:t xml:space="preserve"> от 4 ноября 2017 года</w:t>
      </w:r>
      <w:r>
        <w:rPr>
          <w:rFonts w:ascii="Times New Roman" w:hAnsi="Times New Roman" w:cs="Times New Roman"/>
          <w:sz w:val="28"/>
          <w:szCs w:val="28"/>
        </w:rPr>
        <w:t xml:space="preserve"> № 2438-р.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 В ответе, содержащем информацию об отказе в согласовании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ОДД, необходимо указывать структурную единицу нормативных правовых актов </w:t>
        <w:br/>
        <w:t xml:space="preserve">и (или) документов по стандартизации (статью, часть, пункт), указанных </w:t>
        <w:br/>
        <w:t xml:space="preserve">в пункте 7 Порядка, требования которых были нарушены разработчиком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ОДД.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540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9. Разработчик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ОДД вправе повторно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ОДД в органы </w:t>
        <w:br/>
        <w:t xml:space="preserve">и организации, рассматривающие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ОДД, после получения ответа,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об отказе в согласовании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ОДД.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540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Повторное представление на согласование ПОДД без устранения замечаний, содержащихся в ответах органов и организаций, рассматривающих ПОДД, либо без аргументированной позиции о невозможности учета замечаний, не допускается.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 ПОДД должен быть утвержден: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 позднее 30 календарных дней со дня получения согласований всех органов и организаций, рассматривающих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ОДД;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- должностным лицом в верхней части титульного листа ПОДД грифом </w:t>
      </w:r>
      <w:r>
        <w:rPr>
          <w:rFonts w:ascii="Times New Roman" w:hAnsi="Times New Roman" w:cs="Times New Roman"/>
          <w:sz w:val="28"/>
          <w:szCs w:val="28"/>
        </w:rPr>
        <w:t xml:space="preserve">«УТВЕРЖДЕНО»</w:t>
      </w:r>
      <w:r>
        <w:rPr>
          <w:rFonts w:ascii="Times New Roman" w:hAnsi="Times New Roman" w:cs="Times New Roman"/>
          <w:sz w:val="28"/>
          <w:szCs w:val="28"/>
        </w:rPr>
        <w:t xml:space="preserve"> (без кавычек) с указанием наименования должности такого лица, его подписи, инициалов, фамилии </w:t>
        <w:br/>
        <w:t xml:space="preserve">и даты утверждения;</w:t>
      </w:r>
      <w:r>
        <w:rPr>
          <w:rFonts w:ascii="Times New Roman" w:hAnsi="Times New Roman" w:cs="Times New Roman"/>
          <w:sz w:val="28"/>
          <w:szCs w:val="28"/>
        </w:rPr>
        <w:t xml:space="preserve"> в виде электронного документа - должностным лицом посредством подписания усиленной квалифицированной электронной подписью и нанесения отметки об электронной подписи с указанием наименования должности такого лица, его инициалов, фамилии и даты утверждения.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firstLine="540"/>
        <w:jc w:val="both"/>
      </w:pPr>
      <w:r>
        <w:rPr>
          <w:sz w:val="28"/>
          <w:szCs w:val="28"/>
        </w:rPr>
        <w:t xml:space="preserve">12. Внесение изменений в утвержденный ПОДД осуществляется </w:t>
        <w:br/>
        <w:t xml:space="preserve">в соответствии с настоящим Порядком в случаях, установленных </w:t>
        <w:br/>
        <w:t xml:space="preserve">в Федеральном законе.</w:t>
      </w:r>
      <w:r>
        <w:rPr>
          <w:sz w:val="28"/>
          <w:szCs w:val="28"/>
        </w:rPr>
      </w:r>
      <w:r/>
    </w:p>
    <w:p>
      <w:pPr>
        <w:jc w:val="both"/>
        <w:spacing w:line="315" w:lineRule="atLeast"/>
        <w:shd w:val="clear" w:color="auto" w:fill="ffffff"/>
      </w:pPr>
      <w:r>
        <w:rPr>
          <w:rFonts w:ascii="Arial" w:hAnsi="Arial" w:cs="Arial"/>
          <w:color w:val="2d2d2d"/>
          <w:spacing w:val="2"/>
          <w:sz w:val="21"/>
          <w:szCs w:val="21"/>
        </w:rPr>
      </w:r>
      <w:r>
        <w:rPr>
          <w:rFonts w:ascii="Arial" w:hAnsi="Arial" w:cs="Arial"/>
          <w:color w:val="2d2d2d"/>
          <w:spacing w:val="2"/>
          <w:sz w:val="21"/>
          <w:szCs w:val="21"/>
        </w:rPr>
      </w:r>
      <w:r/>
    </w:p>
    <w:p>
      <w:pPr>
        <w:jc w:val="both"/>
        <w:spacing w:line="315" w:lineRule="atLeast"/>
        <w:shd w:val="clear" w:color="auto" w:fill="ffffff"/>
        <w:rPr>
          <w:rFonts w:ascii="Arial" w:hAnsi="Arial" w:cs="Arial"/>
          <w:color w:val="2d2d2d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</w:r>
      <w:r>
        <w:rPr>
          <w:rFonts w:ascii="Arial" w:hAnsi="Arial" w:cs="Arial"/>
          <w:color w:val="2d2d2d"/>
          <w:spacing w:val="2"/>
          <w:sz w:val="21"/>
          <w:szCs w:val="21"/>
        </w:rPr>
      </w:r>
      <w:r/>
    </w:p>
    <w:p>
      <w:pPr>
        <w:contextualSpacing w:val="0"/>
        <w:ind w:left="38" w:right="91" w:firstLine="67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PT Sans">
    <w:panose1 w:val="020B050302020302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4"/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824"/>
        <w:ind w:left="1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824"/>
        <w:ind w:left="25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824"/>
        <w:ind w:left="32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824"/>
        <w:ind w:left="39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824"/>
        <w:ind w:left="47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824"/>
        <w:ind w:left="54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824"/>
        <w:ind w:left="61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824"/>
        <w:ind w:left="68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24"/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824"/>
        <w:ind w:left="18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824"/>
        <w:ind w:left="25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824"/>
        <w:ind w:left="32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824"/>
        <w:ind w:left="398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824"/>
        <w:ind w:left="47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824"/>
        <w:ind w:left="54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824"/>
        <w:ind w:left="6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824"/>
        <w:ind w:left="68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24"/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824"/>
        <w:ind w:left="18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824"/>
        <w:ind w:left="25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824"/>
        <w:ind w:left="32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824"/>
        <w:ind w:left="39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824"/>
        <w:ind w:left="46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824"/>
        <w:ind w:left="54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824"/>
        <w:ind w:left="61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824"/>
        <w:ind w:left="68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824"/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824"/>
        <w:ind w:left="18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824"/>
        <w:ind w:left="25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824"/>
        <w:ind w:left="32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824"/>
        <w:ind w:left="40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824"/>
        <w:ind w:left="47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824"/>
        <w:ind w:left="54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824"/>
        <w:ind w:left="61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824"/>
        <w:ind w:left="68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24"/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824"/>
        <w:ind w:left="18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824"/>
        <w:ind w:left="25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824"/>
        <w:ind w:left="32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824"/>
        <w:ind w:left="40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824"/>
        <w:ind w:left="47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824"/>
        <w:ind w:left="54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824"/>
        <w:ind w:left="61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824"/>
        <w:ind w:left="68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24"/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824"/>
        <w:ind w:left="18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824"/>
        <w:ind w:left="25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824"/>
        <w:ind w:left="32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824"/>
        <w:ind w:left="40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824"/>
        <w:ind w:left="47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824"/>
        <w:ind w:left="54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824"/>
        <w:ind w:left="61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824"/>
        <w:ind w:left="68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Title"/>
    <w:basedOn w:val="824"/>
    <w:next w:val="824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link w:val="666"/>
    <w:uiPriority w:val="10"/>
    <w:rPr>
      <w:sz w:val="48"/>
      <w:szCs w:val="48"/>
    </w:rPr>
  </w:style>
  <w:style w:type="paragraph" w:styleId="668">
    <w:name w:val="Subtitle"/>
    <w:basedOn w:val="824"/>
    <w:next w:val="824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link w:val="66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link w:val="674"/>
    <w:uiPriority w:val="99"/>
  </w:style>
  <w:style w:type="paragraph" w:styleId="676">
    <w:name w:val="Footer"/>
    <w:basedOn w:val="82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link w:val="676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basedOn w:val="8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0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1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2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3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4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5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7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1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paragraph" w:styleId="827">
    <w:name w:val="No Spacing"/>
    <w:basedOn w:val="824"/>
    <w:uiPriority w:val="1"/>
    <w:qFormat/>
    <w:pPr>
      <w:spacing w:after="0" w:line="240" w:lineRule="auto"/>
    </w:pPr>
  </w:style>
  <w:style w:type="paragraph" w:styleId="828">
    <w:name w:val="List Paragraph"/>
    <w:basedOn w:val="824"/>
    <w:uiPriority w:val="34"/>
    <w:qFormat/>
    <w:pPr>
      <w:contextualSpacing/>
      <w:ind w:left="720"/>
    </w:pPr>
  </w:style>
  <w:style w:type="character" w:styleId="829" w:default="1">
    <w:name w:val="Default Paragraph Font"/>
    <w:uiPriority w:val="1"/>
    <w:semiHidden/>
    <w:unhideWhenUsed/>
  </w:style>
  <w:style w:type="paragraph" w:styleId="83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1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2025-04-01T07:43:14Z</dcterms:modified>
</cp:coreProperties>
</file>