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 xml:space="preserve">Обоснование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 xml:space="preserve">необходимости реализации предлагаемых решений посредством принятия нормативного правового акта, в том числе их влияния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 xml:space="preserve">на конкуренцию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r>
      <w:r/>
    </w:p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постановления Правительства Белгородской области </w:t>
            </w:r>
            <w:r>
              <w:rPr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Порядке разработки,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согласования и утверждения проектов организации дорожного движения для автомобильных дорог регионального, межмуниципального, местного значения, а также изменений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указанные проекты организации дорожного движения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»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(наименование проекта нормативного правового акта Губернатора или Правительства Белгородской области, нормативного правового акта органа исполнительной власти области)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 транспорта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(наименование органа исполнительной власти области, подготовившего данный проект нормативного правового акта)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Обоснование необходимости принятия нормативного правового акта (основания, концепц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цели, задачи, последствия принятия): 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/>
              <w:ind w:firstLine="709"/>
              <w:jc w:val="both"/>
              <w:spacing w:line="233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Проект постановления Правительства Белгородской области </w:t>
              <w:br/>
            </w:r>
            <w:r>
              <w:rPr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Порядке разработки,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согласования и утверждения проектов организации дорожного движения для автомобильных дорог регионального, межмуниципального, местного значения, а также изменений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указанные проекты организации дорожного движения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»</w:t>
            </w:r>
            <w:r/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 разработан министерством автомобильных дорог и транспорта Белгородской области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 в соответствии с Федеральным законом от 29 декабря 2017 года </w:t>
              <w:br/>
              <w:t xml:space="preserve">№ 443-ФЗ «Об организации дорожного движения в Российской Федерации </w:t>
              <w:br/>
              <w:t xml:space="preserve">и о внесении изменений в отдельные законодательные акты Российской Федерации» (далее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 Федеральный закон), в целях исполне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ния требований Федерального закона.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Белгородской области (окажет/не окажет, если окажет, укажите какое влияние и на какие товарные рынки):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Не окажет.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Информация о положениях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Белгородской области (отсутствуют/присутствуют, если присутствуют, отразите короткое обоснование их наличия):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Отсутствую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Парахин Антон Олегович</dc:creator>
  <cp:revision>7</cp:revision>
  <dcterms:created xsi:type="dcterms:W3CDTF">2023-04-28T08:40:00Z</dcterms:created>
  <dcterms:modified xsi:type="dcterms:W3CDTF">2025-04-28T07:42:01Z</dcterms:modified>
</cp:coreProperties>
</file>