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spacing w:line="233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Предлагаемые изменения обусловлены необходимостью корректировки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пути следования ряда маршрутов регулярных перевозок пассажиров и багажа на территории Белгородской агломерации ввиду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мероприятий по модернизации существующей маршрутной сети Белгородской агломерации, а также решения таких социальных задач, как улучшение транспортного обслуживания населения, увеличение пропускной способнос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автобусов в утренние и вечерние «часы пик»,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совершенствования транспортной инфраструктуры и снижение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пассажиров на передвижение к местам работы, учебы и иным объектам социального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так и формирования оптимальной маршрутной сети пассажирского транспорта,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исключения задублированнности маршрутов.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spacing w:line="233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Также представленным проектом постановления предлагается отменить </w:t>
              <w:br/>
              <w:t xml:space="preserve">4 маршрута регулярных перевозок пассажиров и багажа,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что вызвано отсутствием необходимого и устойчивого пассажиропотока на маршрутах (маршруты № 111А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ДС «Космос» –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Сады «Авиаторов» (сезонный)»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 № 116А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Энергомаш –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Сады «Сухой Лог» (сезонный)»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), а также объединением маршрутов № 108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Энергомаш – с. Вергилевка»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 № 110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Энергомаш – с. Нечаевка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» и необходимостью организации транспортного обслуживания по маршруту № 135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Энергомаш –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с. Гостищево»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Яковлевским городским округом, на территории которого осуществляется движение </w:t>
              <w:br/>
              <w:t xml:space="preserve">по вышеуказанному маршруту.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Кроме того, проектом постановления вносятся изменения 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график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заключения государственных контрактов на выполнение работ, связанных </w:t>
              <w:br/>
              <w:t xml:space="preserve">с осуществлением транспортного обслуживания населения по муниципальным маршрутам рег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улярных перевозок и межмуниципальным маршрутам регулярных перевозок пригородного сообщения (далее – государственные контракты), что обусловлено окончанием срока действия заключенных </w:t>
              <w:br/>
              <w:t xml:space="preserve">в настоящее время государственный контрактов и необходимостью проведения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конкурентных процедур.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2025-02-06T09:20:44Z</dcterms:modified>
</cp:coreProperties>
</file>