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признании утратившим силу постановления Правительства Белгородской области от 27 апреля 2005 года № 89-пп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1_1151"/>
              <w:contextualSpacing/>
              <w:ind w:left="0" w:right="0" w:firstLine="70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утратившим силу постановления Правительства Белгородской области от 27 апреля </w:t>
              <w:br/>
              <w:t xml:space="preserve">2005 года № 89-пп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 в связи с тем, что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период с момента принятия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 апреля 2005 года № 89-пп «Об утверждении Правил установления и использования придорожных полос территориальных автомобильных дорог общего пользования Белгородской области»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регулировало вопросы установления и использования придорожных полос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_1151"/>
              <w:contextualSpacing/>
              <w:ind w:left="0" w:right="0" w:firstLine="70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Ф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едеральный закон от 8 ноября 2007 года № 257-ФЗ «Об автомобильных дорогах </w:t>
              <w:br/>
              <w:t xml:space="preserve">и о дорожной деятельности в Российской Федерации и о внесении изменений в отдельные законодательные акты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содержит иные нормы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установления </w:t>
              <w:br/>
              <w:t xml:space="preserve">и использования придорожных полос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в связи с чем Постановление потеряло актуальность и подлежит признанию утратившим силу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 w:eastAsia="en-US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1_673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1151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2025-02-05T11:31:39Z</dcterms:modified>
</cp:coreProperties>
</file>