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признании утратившим силу постановления Правительства Белгородской области от 27 апреля 2005 года № 89-пп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18 ноября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2025-02-05T11:25:19Z</dcterms:modified>
</cp:coreProperties>
</file>