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зменение обусловлено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реализацией мероприятий по модернизации существующей маршрутной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городского округа «Город Белгород»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и муниципального района «Белгородский район», вносятся изменения в путь следования маршрута регулярных перевозок пассажиров и багажа № 223 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szCs w:val="24"/>
                <w:highlight w:val="white"/>
              </w:rPr>
              <w:t xml:space="preserve">Рынок «Салют»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szCs w:val="24"/>
                <w:highlight w:val="white"/>
              </w:rPr>
              <w:t xml:space="preserve"> микрорайон «Садовый»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szCs w:val="24"/>
                <w:highlight w:val="white"/>
              </w:rPr>
              <w:t xml:space="preserve"> микрорайон «Пушкарное-78</w:t>
            </w:r>
            <w:r>
              <w:rPr>
                <w:rFonts w:ascii="Times New Roman" w:hAnsi="Times New Roman" w:eastAsia="PT Serif" w:cs="Times New Roman"/>
                <w:color w:val="000000" w:themeColor="text1"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на решение таких социальных задач, как улучшение транспортного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 Белгородской агломерации, увеличение пропускной способности автобусов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утренние и вечерние часы пик,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оптимальной маршрутной сети пассажирского транспорта, в частности, организации транспортного сообщения между вышеуказанными населенными пунктами, совершенствование 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контроля за осуществлением регулярных перевозок транспортом общего пользования,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времени на передвижение пассажирским транспортом городского и пригородного 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к местам работы, учебы и иным объектам социального назначения.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Кроме того, комплексное решение указанных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 позволи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населению Белгородской агломерации получить более качественную и безопасную услугу пассажирского транспорта, при помощи которой удовлетворяется общественный запрос населения городского округа «Город Белгород», муниципального района «Белгородский район».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2025-02-06T09:16:01Z</dcterms:modified>
</cp:coreProperties>
</file>