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перечня строительства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(реконструкции) автомобильных дорог и строительства сетей наружного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освещения вдоль автомобильных дорог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 Белгородской области на 2025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2027 годы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16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2025-02-05T13:50:59Z</dcterms:modified>
</cp:coreProperties>
</file>