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/>
    </w:p>
    <w:p>
      <w:pPr>
        <w:jc w:val="center"/>
        <w:rPr>
          <w:b/>
          <w:bCs/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</w:t>
      </w:r>
      <w:r>
        <w:rPr>
          <w:b/>
          <w:color w:val="000000" w:themeColor="text1"/>
          <w:sz w:val="28"/>
          <w:szCs w:val="28"/>
        </w:rPr>
        <w:t xml:space="preserve"> на конкуренцию </w:t>
      </w:r>
      <w:r/>
    </w:p>
    <w:p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highlight w:val="none"/>
        </w:rPr>
      </w:r>
      <w:r>
        <w:rPr>
          <w:b/>
          <w:color w:val="000000" w:themeColor="text1"/>
          <w:sz w:val="28"/>
          <w:szCs w:val="28"/>
          <w:highlight w:val="none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1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</w:t>
            </w:r>
            <w:r>
              <w:rPr>
                <w:sz w:val="24"/>
                <w:szCs w:val="24"/>
              </w:rPr>
              <w:t xml:space="preserve">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  <w:t xml:space="preserve">О внесении изменений </w:t>
              <w:br/>
              <w:t xml:space="preserve">в 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  <w:t xml:space="preserve">постановле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  <w:t xml:space="preserve">ние 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  <w:t xml:space="preserve">от 09 декабря 2013 года № 502-пп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hd w:val="clear" w:color="auto" w:fill="ffffff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</w:r>
            <w:r/>
            <w:r/>
          </w:p>
          <w:p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>
              <w:rPr>
                <w:i/>
                <w:color w:val="000000" w:themeColor="text1"/>
              </w:rPr>
              <w:t xml:space="preserve">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i/>
                <w:color w:val="000000" w:themeColor="text1"/>
              </w:rPr>
              <w:t xml:space="preserve">(наименование органа исполнительной власти области</w:t>
            </w:r>
            <w:r>
              <w:rPr>
                <w:i/>
                <w:color w:val="000000" w:themeColor="text1"/>
              </w:rPr>
              <w:t xml:space="preserve">, подготовившего данный проект </w:t>
            </w:r>
            <w:r>
              <w:rPr>
                <w:i/>
                <w:color w:val="000000" w:themeColor="text1"/>
              </w:rPr>
              <w:t xml:space="preserve">нормативного правового акта</w:t>
            </w:r>
            <w:r>
              <w:rPr>
                <w:i/>
                <w:color w:val="000000" w:themeColor="text1"/>
              </w:rPr>
              <w:t xml:space="preserve">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425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</w:t>
            </w:r>
            <w:r>
              <w:rPr>
                <w:sz w:val="24"/>
                <w:szCs w:val="24"/>
                <w:lang w:eastAsia="en-US"/>
              </w:rPr>
              <w:t xml:space="preserve"> </w:t>
            </w:r>
            <w:r>
              <w:rPr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/>
          </w:p>
          <w:p>
            <w:pPr>
              <w:pStyle w:val="811"/>
              <w:jc w:val="both"/>
              <w:tabs>
                <w:tab w:val="left" w:pos="709" w:leader="none"/>
              </w:tabs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Проект постановления </w:t>
            </w:r>
            <w:r>
              <w:rPr>
                <w:sz w:val="24"/>
                <w:szCs w:val="24"/>
              </w:rPr>
              <w:t xml:space="preserve">Правительства Белгородск</w:t>
            </w:r>
            <w:r>
              <w:rPr>
                <w:sz w:val="24"/>
                <w:szCs w:val="24"/>
              </w:rPr>
              <w:t xml:space="preserve">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  <w:t xml:space="preserve">О внесении изменений </w:t>
              <w:br/>
              <w:t xml:space="preserve">в 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  <w:t xml:space="preserve">постановле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  <w:t xml:space="preserve">ние 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  <w:t xml:space="preserve">от 09 декабря 2013 года № 502-пп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разработан в связи со следующим.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</w:r>
          </w:p>
          <w:p>
            <w:pPr>
              <w:pStyle w:val="811"/>
              <w:jc w:val="both"/>
              <w:tabs>
                <w:tab w:val="left" w:pos="720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соответствии с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аспоряжени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ями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Правительства Белгородской области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от 11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марта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2024 года № 18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-рп «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О предоставлении в госуда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ственную собственность Белгородской области имущества федеральной собственности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и от 11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марта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2024 года № 181-рп «О предоставлении в госуда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ственную собственность Белгородской области имущества муниципальной собственности»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собственность Белгородской области приняты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автомобильные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дороги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Южный подход к городу Белгороду и Спутник – улица Сумская –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улица Чичерина – Ротонда (проспект Б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гдана Хмельницкого)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Указ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нные автомобильные дороги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необходимо в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нести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перечень автомобильных дорог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общего пользования регионального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и межмуниципального значений, относящихся </w:t>
              <w:br/>
              <w:t xml:space="preserve">к государственной собственности Белгородской области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1"/>
              <w:jc w:val="both"/>
              <w:tabs>
                <w:tab w:val="left" w:pos="720" w:leader="none"/>
              </w:tabs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ab/>
              <w:t xml:space="preserve">Кроме того, по результатам произведенной диагностики автомобильных дорог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изменилась протяженность автомобильных дорог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Северный подъезд к городу Белгороду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«Белгород – Новый Оскол – Советское» – Веселое – Николаевский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с подъездом к поселку Николаевский,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одъезд к центру села Солдатское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«Короча – Чернянка – Красное» – Новоречье – Ларисовка.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й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 окажет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 Информация </w:t>
            </w:r>
            <w:r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положения</w:t>
            </w: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которые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отсутствуют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1_673" w:customStyle="1">
    <w:name w:val="ConsPlusTitle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/>
      <w:bCs w:val="0"/>
      <w:i w:val="0"/>
      <w:iCs w:val="0"/>
      <w:caps w:val="0"/>
      <w:smallCaps w:val="0"/>
      <w:strike w:val="0"/>
      <w:vanish w:val="0"/>
      <w:color w:val="00000a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1151" w:customStyle="1">
    <w:name w:val="Body Text"/>
    <w:pPr>
      <w:contextualSpacing w:val="0"/>
      <w:ind w:left="0" w:right="0" w:firstLine="709"/>
      <w:jc w:val="both"/>
      <w:keepLines w:val="0"/>
      <w:keepNext w:val="0"/>
      <w:pageBreakBefore w:val="0"/>
      <w:spacing w:before="0" w:beforeAutospacing="0" w:after="120" w:afterAutospacing="0" w:line="36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2023-08-10T11:55:00Z</dcterms:created>
  <dcterms:modified xsi:type="dcterms:W3CDTF">2025-02-05T12:25:39Z</dcterms:modified>
</cp:coreProperties>
</file>