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color w:val="000000" w:themeColor="text1"/>
          <w:sz w:val="28"/>
          <w:szCs w:val="28"/>
          <w:highlight w:val="none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/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425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811"/>
              <w:jc w:val="both"/>
              <w:tabs>
                <w:tab w:val="left" w:pos="709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разработан в связи со следующим.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целях своевременного выполнения программы дорожных работ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2024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2026 годы и в связи с внесением изменения в закон Белгородской области </w:t>
              <w:br/>
              <w:t xml:space="preserve">от 27 декабря 2023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областном бюджете на 2024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на плановый период 2025 и 2026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части перераспределения средств областного бюджета на 2024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2026 годы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  <w:br/>
              <w:t xml:space="preserve">в постановление Правительства Белгородской области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25 декабря 2023 года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793-пп «Об утверждении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пообъектного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w:tooltip="#P37" w:anchor="P37" w:history="1"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перечня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строительства (реконструкции) автомобильных дорог и 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оительства сетей наружного освещения вдоль автомобильных дорог </w:t>
              <w:br/>
              <w:t xml:space="preserve">в Белгородской области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2024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2026 годы»необходимо внести изменения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части исключения объектов, муниципальных районов и городских округов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пообъектного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перечня строительства (реконструкц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ии) автомобильных дорог и строительства сетей наружного освещения вдоль автомобильных дорог в Белгородской области </w:t>
              <w:br/>
              <w:t xml:space="preserve">на 2024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2026 годы.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целом, произошло уменьшение ассигнований на 2024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сумму 187 552,2 тыс. рублей в связи с актуализацией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асходов.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tabs>
                <w:tab w:val="left" w:pos="720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1_673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1151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2025-02-05T13:42:39Z</dcterms:modified>
</cp:coreProperties>
</file>