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tbl>
      <w:tblPr>
        <w:tblStyle w:val="815"/>
        <w:tblW w:w="0" w:type="auto"/>
        <w:tblLayout w:type="fixed"/>
        <w:tblLook w:val="04A0" w:firstRow="1" w:lastRow="0" w:firstColumn="1" w:lastColumn="0" w:noHBand="0" w:noVBand="1"/>
      </w:tblPr>
      <w:tblGrid>
        <w:gridCol w:w="9320"/>
      </w:tblGrid>
      <w:tr>
        <w:trPr/>
        <w:tc>
          <w:tcPr>
            <w:tcW w:w="93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Проект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28 декабря 2024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696-пп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2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ия, цели, задачи, последствия принятия):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целях своевременного выполнения программы дорожных работ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  и в связи с внесением изменения в закон Белгородской области от 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декабря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430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областном бюджете на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на плановый период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  <w:br/>
              <w:t xml:space="preserve">в части перераспределения средств областного бюджета на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 по разделу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постановление Правительства Белгородской области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декабря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696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-пп «Об утверждении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пообъектного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hyperlink w:tooltip="#P37" w:anchor="P37" w:history="1"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перечня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строительства (реконструкции) автомобильных дорог </w:t>
              <w:br/>
              <w:t xml:space="preserve">и строительства сетей наружного освещения вдоль автомобильных дорог </w:t>
              <w:br/>
              <w:t xml:space="preserve">в Белгородской области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внести изменения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ключения объектов, муниципальных районов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городских округов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пообъектн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(реконструкции) автомобильных дорог </w:t>
              <w:br/>
              <w:t xml:space="preserve">и строительства сетей наружного освещения вдоль автомобильных 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Белгородской области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16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целом, произошло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ассигнований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–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32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20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16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7</cp:revision>
  <dcterms:created xsi:type="dcterms:W3CDTF">2023-04-28T08:40:00Z</dcterms:created>
  <dcterms:modified xsi:type="dcterms:W3CDTF">2025-02-12T09:56:10Z</dcterms:modified>
</cp:coreProperties>
</file>