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Анкета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участника публичных консультаций, проводимых </w:t>
      </w:r>
      <w:r>
        <w:rPr>
          <w:b/>
          <w:bCs/>
          <w:sz w:val="28"/>
          <w:szCs w:val="28"/>
        </w:rPr>
        <w:t xml:space="preserve">посредством сбора замечаний и предложений организаций и граждан в рамках анализа проект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 нормативн</w:t>
      </w:r>
      <w:r>
        <w:rPr>
          <w:b/>
          <w:bCs/>
          <w:sz w:val="28"/>
          <w:szCs w:val="28"/>
        </w:rPr>
        <w:t xml:space="preserve">ого</w:t>
      </w:r>
      <w:r>
        <w:rPr>
          <w:b/>
          <w:bCs/>
          <w:sz w:val="28"/>
          <w:szCs w:val="28"/>
        </w:rPr>
        <w:t xml:space="preserve"> правов</w:t>
      </w:r>
      <w:r>
        <w:rPr>
          <w:b/>
          <w:bCs/>
          <w:sz w:val="28"/>
          <w:szCs w:val="28"/>
        </w:rPr>
        <w:t xml:space="preserve">ого</w:t>
      </w:r>
      <w:r>
        <w:rPr>
          <w:b/>
          <w:bCs/>
          <w:sz w:val="28"/>
          <w:szCs w:val="28"/>
        </w:rPr>
        <w:t xml:space="preserve"> акт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 на предмет </w:t>
      </w:r>
      <w:r>
        <w:rPr>
          <w:b/>
          <w:bCs/>
          <w:sz w:val="28"/>
          <w:szCs w:val="28"/>
        </w:rPr>
        <w:t xml:space="preserve">его</w:t>
      </w:r>
      <w:r>
        <w:rPr>
          <w:b/>
          <w:bCs/>
          <w:sz w:val="28"/>
          <w:szCs w:val="28"/>
        </w:rPr>
        <w:t xml:space="preserve"> влияния на конкуренцию</w:t>
      </w:r>
      <w:r/>
    </w:p>
    <w:p>
      <w:pPr>
        <w:jc w:val="center"/>
        <w:rPr>
          <w:sz w:val="16"/>
          <w:szCs w:val="16"/>
          <w:highlight w:val="yellow"/>
        </w:rPr>
      </w:pPr>
      <w:r>
        <w:rPr>
          <w:sz w:val="16"/>
          <w:szCs w:val="16"/>
          <w:highlight w:val="yellow"/>
        </w:rPr>
      </w:r>
      <w:r/>
    </w:p>
    <w:p>
      <w:pPr>
        <w:pStyle w:val="604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Общие сведения об участнике публичных консультаций</w:t>
      </w:r>
      <w:r/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 xml:space="preserve">хозяйствующего субъекта (организации)</w:t>
            </w:r>
            <w:r/>
          </w:p>
        </w:tc>
        <w:tc>
          <w:tcPr>
            <w:shd w:val="clear" w:color="auto" w:fill="auto"/>
            <w:tcW w:w="52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Сфер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 деятельности </w:t>
            </w:r>
            <w:r>
              <w:rPr>
                <w:sz w:val="24"/>
                <w:szCs w:val="24"/>
              </w:rPr>
              <w:t xml:space="preserve">хозяйствующего субъекта (организации)</w:t>
            </w:r>
            <w:r/>
          </w:p>
        </w:tc>
        <w:tc>
          <w:tcPr>
            <w:shd w:val="clear" w:color="auto" w:fill="auto"/>
            <w:tcW w:w="52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хозяйствующего субъекта (организации)</w:t>
            </w:r>
            <w:r/>
          </w:p>
        </w:tc>
        <w:tc>
          <w:tcPr>
            <w:shd w:val="clear" w:color="auto" w:fill="auto"/>
            <w:tcW w:w="52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участника публичных консультаций</w:t>
            </w:r>
            <w:r/>
          </w:p>
        </w:tc>
        <w:tc>
          <w:tcPr>
            <w:shd w:val="clear" w:color="auto" w:fill="auto"/>
            <w:tcW w:w="52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Контактный телефон</w:t>
            </w:r>
            <w:r/>
          </w:p>
        </w:tc>
        <w:tc>
          <w:tcPr>
            <w:shd w:val="clear" w:color="auto" w:fill="auto"/>
            <w:tcW w:w="52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</w:t>
            </w:r>
            <w:r/>
          </w:p>
        </w:tc>
        <w:tc>
          <w:tcPr>
            <w:shd w:val="clear" w:color="auto" w:fill="auto"/>
            <w:tcW w:w="52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jc w:val="center"/>
        <w:rPr>
          <w:sz w:val="16"/>
          <w:szCs w:val="16"/>
          <w:highlight w:val="yellow"/>
        </w:rPr>
      </w:pPr>
      <w:r>
        <w:rPr>
          <w:sz w:val="28"/>
          <w:szCs w:val="28"/>
          <w:highlight w:val="yellow"/>
        </w:rPr>
        <w:t xml:space="preserve"> </w:t>
      </w:r>
      <w:r/>
    </w:p>
    <w:p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Общие сведения о проекте нормативного правового акта</w:t>
      </w:r>
      <w:r/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54"/>
      </w:tblGrid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остановлени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 Правительства Белгородской области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О межведомственной комиссии по обеспечению </w:t>
            </w:r>
            <w:r>
              <w:rPr>
                <w:sz w:val="24"/>
                <w:szCs w:val="24"/>
              </w:rPr>
              <w:t xml:space="preserve">безопасности дорожного</w:t>
            </w:r>
            <w:r>
              <w:rPr>
                <w:sz w:val="24"/>
                <w:szCs w:val="24"/>
              </w:rPr>
              <w:t xml:space="preserve"> движения в Белгородской области</w:t>
            </w:r>
            <w:r>
              <w:rPr>
                <w:sz w:val="24"/>
                <w:szCs w:val="24"/>
              </w:rPr>
              <w:t xml:space="preserve">»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1.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Могут ли положения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проект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нормативного правового акта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оказать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влияние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конкуренцию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на рынках товаров, работ, услуг Белгородской области?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2. 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Присутствуют ли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в проекте нормативного правового акта положени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я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которые могут оказать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негативное влияние на конкуренцию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на рынках товаров, работ, услуг Белгородской области?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Какие положения проекта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могут привести к недопущению, ограничению или устранению конкуренции на рынках товаров, работ, услуг Белгородской области? </w:t>
            </w:r>
            <w:r>
              <w:rPr>
                <w:sz w:val="24"/>
                <w:szCs w:val="24"/>
              </w:rPr>
              <w:t xml:space="preserve">Укажите номер подпункта, пункта, части, статьи проекта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и их содержание.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4. </w:t>
            </w:r>
            <w:r>
              <w:rPr>
                <w:sz w:val="24"/>
                <w:szCs w:val="24"/>
              </w:rPr>
              <w:t xml:space="preserve">На каких рынках товаров, работ, услуг может ухудшиться состояние конкурентной среды в результате принятия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?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5. </w:t>
            </w:r>
            <w:r>
              <w:rPr>
                <w:sz w:val="24"/>
                <w:szCs w:val="24"/>
              </w:rPr>
              <w:t xml:space="preserve">Какие положения антимонопольного законодательства могут быть нарушены?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6. </w:t>
            </w:r>
            <w:r>
              <w:rPr>
                <w:sz w:val="24"/>
                <w:szCs w:val="24"/>
              </w:rPr>
              <w:t xml:space="preserve">Какие возможны негативные последствия для конкуренции в случае </w:t>
            </w:r>
            <w:r>
              <w:rPr>
                <w:sz w:val="24"/>
                <w:szCs w:val="24"/>
              </w:rPr>
              <w:t xml:space="preserve">принятия</w:t>
            </w:r>
            <w:r>
              <w:rPr>
                <w:sz w:val="24"/>
                <w:szCs w:val="24"/>
              </w:rPr>
              <w:t xml:space="preserve"> нормативного правового акта</w:t>
            </w:r>
            <w:r>
              <w:rPr>
                <w:sz w:val="24"/>
                <w:szCs w:val="24"/>
              </w:rPr>
              <w:t xml:space="preserve"> в данной редакции</w:t>
            </w:r>
            <w:r>
              <w:rPr>
                <w:sz w:val="24"/>
                <w:szCs w:val="24"/>
              </w:rPr>
              <w:t xml:space="preserve">?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Ваши замечания и предложения по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проекту 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 xml:space="preserve">в целях учета требований антимонопольного законодательства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: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З</w:t>
            </w:r>
            <w:r>
              <w:rPr>
                <w:sz w:val="24"/>
                <w:szCs w:val="24"/>
              </w:rPr>
              <w:t xml:space="preserve">амечания и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редложения принимаются по адресу: </w:t>
            </w:r>
            <w:r>
              <w:rPr>
                <w:sz w:val="24"/>
                <w:szCs w:val="24"/>
              </w:rPr>
              <w:t xml:space="preserve">г. Белгород, </w:t>
            </w:r>
            <w:r>
              <w:rPr>
                <w:sz w:val="24"/>
                <w:szCs w:val="24"/>
              </w:rPr>
              <w:t xml:space="preserve">ул. Преображенская, д.19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а также по адресу электронной почты: </w:t>
            </w:r>
            <w:r>
              <w:rPr>
                <w:sz w:val="24"/>
                <w:szCs w:val="24"/>
                <w:lang w:val="en-US"/>
              </w:rPr>
              <w:t xml:space="preserve">ordi</w:t>
            </w:r>
            <w:r>
              <w:rPr>
                <w:sz w:val="24"/>
                <w:szCs w:val="24"/>
              </w:rPr>
              <w:t xml:space="preserve">@</w:t>
            </w:r>
            <w:r>
              <w:rPr>
                <w:sz w:val="24"/>
                <w:szCs w:val="24"/>
                <w:lang w:val="en-US"/>
              </w:rPr>
              <w:t xml:space="preserve">belregion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 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Сроки приема замечаний и предложений: с 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марта</w:t>
            </w:r>
            <w:r>
              <w:rPr>
                <w:sz w:val="24"/>
                <w:szCs w:val="24"/>
              </w:rPr>
              <w:t xml:space="preserve"> 2022 года по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апреля </w:t>
            </w:r>
            <w:bookmarkStart w:id="0" w:name="_GoBack"/>
            <w:r/>
            <w:bookmarkEnd w:id="0"/>
            <w:r>
              <w:rPr>
                <w:sz w:val="24"/>
                <w:szCs w:val="24"/>
              </w:rPr>
              <w:t xml:space="preserve">2022 года.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tabs>
                <w:tab w:val="left" w:pos="2940" w:leader="none"/>
              </w:tabs>
              <w:rPr>
                <w:sz w:val="2"/>
                <w:szCs w:val="2"/>
                <w:highlight w:val="yellow"/>
              </w:rPr>
            </w:pPr>
            <w:r>
              <w:rPr>
                <w:sz w:val="2"/>
                <w:szCs w:val="2"/>
                <w:highlight w:val="yellow"/>
              </w:rPr>
            </w:r>
            <w:r/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567" w:bottom="851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0"/>
    <w:next w:val="600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01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0"/>
    <w:next w:val="600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1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0"/>
    <w:next w:val="600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0"/>
    <w:next w:val="60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0"/>
    <w:next w:val="60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0"/>
    <w:next w:val="60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0"/>
    <w:next w:val="60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0"/>
    <w:next w:val="60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0"/>
    <w:next w:val="60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00"/>
    <w:next w:val="600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01"/>
    <w:link w:val="33"/>
    <w:uiPriority w:val="10"/>
    <w:rPr>
      <w:sz w:val="48"/>
      <w:szCs w:val="48"/>
    </w:rPr>
  </w:style>
  <w:style w:type="paragraph" w:styleId="35">
    <w:name w:val="Subtitle"/>
    <w:basedOn w:val="600"/>
    <w:next w:val="600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1"/>
    <w:link w:val="35"/>
    <w:uiPriority w:val="11"/>
    <w:rPr>
      <w:sz w:val="24"/>
      <w:szCs w:val="24"/>
    </w:rPr>
  </w:style>
  <w:style w:type="paragraph" w:styleId="37">
    <w:name w:val="Quote"/>
    <w:basedOn w:val="600"/>
    <w:next w:val="60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0"/>
    <w:next w:val="60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0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1"/>
    <w:link w:val="41"/>
    <w:uiPriority w:val="99"/>
  </w:style>
  <w:style w:type="paragraph" w:styleId="43">
    <w:name w:val="Footer"/>
    <w:basedOn w:val="60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1"/>
    <w:link w:val="43"/>
    <w:uiPriority w:val="99"/>
  </w:style>
  <w:style w:type="paragraph" w:styleId="45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8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0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1"/>
    <w:uiPriority w:val="99"/>
    <w:unhideWhenUsed/>
    <w:rPr>
      <w:vertAlign w:val="superscript"/>
    </w:rPr>
  </w:style>
  <w:style w:type="paragraph" w:styleId="177">
    <w:name w:val="endnote text"/>
    <w:basedOn w:val="60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1"/>
    <w:uiPriority w:val="99"/>
    <w:semiHidden/>
    <w:unhideWhenUsed/>
    <w:rPr>
      <w:vertAlign w:val="superscript"/>
    </w:rPr>
  </w:style>
  <w:style w:type="paragraph" w:styleId="180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qFormat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601" w:default="1">
    <w:name w:val="Default Paragraph Font"/>
    <w:uiPriority w:val="1"/>
    <w:semiHidden/>
    <w:unhideWhenUsed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>
    <w:name w:val="List Paragraph"/>
    <w:basedOn w:val="600"/>
    <w:uiPriority w:val="34"/>
    <w:qFormat/>
    <w:pPr>
      <w:contextualSpacing/>
      <w:ind w:left="720"/>
    </w:pPr>
  </w:style>
  <w:style w:type="table" w:styleId="605">
    <w:name w:val="Table Grid"/>
    <w:basedOn w:val="602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06">
    <w:name w:val="Hyperlink"/>
    <w:uiPriority w:val="99"/>
    <w:rPr>
      <w:color w:val="0000ff"/>
      <w:u w:val="single"/>
    </w:rPr>
  </w:style>
  <w:style w:type="paragraph" w:styleId="607">
    <w:name w:val="Body Text 3"/>
    <w:basedOn w:val="600"/>
    <w:link w:val="608"/>
    <w:rPr>
      <w:rFonts w:eastAsia="Times New Roman"/>
      <w:sz w:val="28"/>
    </w:rPr>
  </w:style>
  <w:style w:type="character" w:styleId="608" w:customStyle="1">
    <w:name w:val="Основной текст 3 Знак"/>
    <w:basedOn w:val="601"/>
    <w:link w:val="607"/>
    <w:rPr>
      <w:rFonts w:ascii="Times New Roman" w:hAnsi="Times New Roman"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revision>13</cp:revision>
  <dcterms:created xsi:type="dcterms:W3CDTF">2022-02-02T13:17:00Z</dcterms:created>
  <dcterms:modified xsi:type="dcterms:W3CDTF">2025-12-10T07:27:17Z</dcterms:modified>
</cp:coreProperties>
</file>