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6"/>
          <w:szCs w:val="26"/>
        </w:rPr>
      </w:pPr>
      <w:r/>
      <w:bookmarkStart w:id="0" w:name="P439"/>
      <w:r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Сводный отчет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проведения оценки регулирующего воздействия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проекта нормативного правового акта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 xml:space="preserve">1. Общая информация: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1.1. Орган-разработчик (инициатор проекта закона Белгородской области): министерство автомобильных дорог и транспорта Белгородской области.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1.2. Вид и наименование проекта нормативного правового акта: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Проект 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1.3. Сроки проведения публичного обсуждения проекта нормативного правового акта: с «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20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»марта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2024 года по «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» апреля 2024 года.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1.4. Степень регулирующего воздействия проекта нормативного правового акта: Средняя.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Проект нормативного правового акта содержит положения, изменяющие ранее установленную ответственность в от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ношении недобросовестных перевозчиков, осуществляющих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рных перевозок в пригородном сообщении городского округа «Город 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1.5. Контактная информация об исполнителе в органе-разработчике: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Ф.И.О.: Парахин Антон Олегович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Должность: заместитель начальника областного государственного казенного учреждения «Организатор пассажирских перевозок Белгородской области»: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Тел.: (4722) 38-08-02. Адрес электронной почты: parahin_ao@belregion.ru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 Описание проблемы, на решение которой направлено вводимое правовое регулирование: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2.1. Проблема, на решение которой направлен предлагаемый способ правового регулирования: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Для обеспечения транспортного обслуживания жителей Белгородской агломерации, а это город Белгород и Белгородский район, по действующим </w:t>
      </w:r>
      <w:r>
        <w:rPr>
          <w:rFonts w:ascii="Times New Roman" w:hAnsi="Times New Roman" w:eastAsia="Calibri" w:cs="Times New Roman"/>
          <w:sz w:val="26"/>
          <w:szCs w:val="26"/>
        </w:rPr>
        <w:t xml:space="preserve">134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маршрутам регулярных пассажирских перевозок в рабочие дни запланировано выполнение 6972 рейса (в выходные и праздничные до 46</w:t>
      </w:r>
      <w:r>
        <w:rPr>
          <w:rFonts w:ascii="Times New Roman" w:hAnsi="Times New Roman" w:eastAsia="Calibri" w:cs="Times New Roman"/>
          <w:sz w:val="26"/>
          <w:szCs w:val="26"/>
        </w:rPr>
        <w:t xml:space="preserve">00</w:t>
      </w:r>
      <w:r>
        <w:rPr>
          <w:rFonts w:ascii="Times New Roman" w:hAnsi="Times New Roman" w:eastAsia="Calibri" w:cs="Times New Roman"/>
          <w:sz w:val="26"/>
          <w:szCs w:val="26"/>
        </w:rPr>
        <w:t xml:space="preserve"> рейсов)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Как показывает уч</w:t>
      </w:r>
      <w:r>
        <w:rPr>
          <w:rFonts w:ascii="Times New Roman" w:hAnsi="Times New Roman" w:eastAsia="Calibri" w:cs="Times New Roman"/>
          <w:sz w:val="26"/>
          <w:szCs w:val="26"/>
        </w:rPr>
        <w:t xml:space="preserve">ет, контроль и анализ выполнения транспортной работы, перевозчиками на маршрутах ежедневно не выполняется или выполняется с нарушениями до 15 % запланированных рейсов. В настоящее время указанная проблема еще более обострилась в связи со сложившейся операт</w:t>
      </w:r>
      <w:r>
        <w:rPr>
          <w:rFonts w:ascii="Times New Roman" w:hAnsi="Times New Roman" w:eastAsia="Calibri" w:cs="Times New Roman"/>
          <w:sz w:val="26"/>
          <w:szCs w:val="26"/>
        </w:rPr>
        <w:t xml:space="preserve">ивной обстановкой на территории Белгородской области, когда избыточное скопления граждан на остановках общественного транспорта в результате обстрелов и террористических актов со стороны вооруженных формирований Украины несет прямую угрозу их безопасности.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Однако, в соответствии с положениями 220 Федерального закона от 13 июля 2015 года регламентирующего организацию регулярных пассажирских перевозо</w:t>
      </w:r>
      <w:r>
        <w:rPr>
          <w:rFonts w:ascii="Times New Roman" w:hAnsi="Times New Roman" w:eastAsia="Calibri" w:cs="Times New Roman"/>
          <w:sz w:val="26"/>
          <w:szCs w:val="26"/>
        </w:rPr>
        <w:t xml:space="preserve">к и  постановлением Правительства РФ от 19 августа 2022 года № 1445 предусматривающее обязательное условия государственных контрактов на осуществление регулярных пассажирских перевозок, размер штрафных санкций за указанные нарушения составляет 1000 рублей.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Вместе с тем, в связи с сложившейся оперативной обстановкой на территории Белгородской области в результате обстрелов и террористических актов со стороны вооруженных формирований Украины в период проведения специальной военной операции, скопление граж</w:t>
      </w:r>
      <w:r>
        <w:rPr>
          <w:rFonts w:ascii="Times New Roman" w:hAnsi="Times New Roman" w:eastAsia="Calibri" w:cs="Times New Roman"/>
          <w:sz w:val="26"/>
          <w:szCs w:val="26"/>
        </w:rPr>
        <w:t xml:space="preserve">дан на остановках общественного транспорта, по причинам нарушения расписания общественного транспорта, а также его недовыпуска, в том числе прямым образом влияет на угрозу жизни и здоровья граждан, которые в период проведения специальной военной операции, </w:t>
      </w:r>
      <w:r>
        <w:rPr>
          <w:rFonts w:ascii="Times New Roman" w:hAnsi="Times New Roman" w:eastAsia="Calibri" w:cs="Times New Roman"/>
          <w:sz w:val="26"/>
          <w:szCs w:val="26"/>
        </w:rPr>
        <w:t xml:space="preserve">защита которых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являются приоритетными направлениями в сфере общественных интересов Белгородской области.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2.2. Информация о возникновении и выявлении проблемы: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Проблема возникла в период проведения специальной военной операции.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2.3. Негативные эффекты, возникающие в связи с наличием рассматриваемой проблемы: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Нарушение установленного расписания движения на маршрутах рег</w:t>
      </w:r>
      <w:r>
        <w:rPr>
          <w:rFonts w:ascii="Times New Roman" w:hAnsi="Times New Roman" w:eastAsia="Calibri" w:cs="Times New Roman"/>
          <w:sz w:val="26"/>
          <w:szCs w:val="26"/>
        </w:rPr>
        <w:t xml:space="preserve">улярных перевозок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«Город Белгород» и муниципального района «Белгородский район», что приводит к скоплению граждан на остановках общественного транспорта, и свою очередь представляет угрозу безопасности жизни и здоровья последних. При этом, существующие меры ответственности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должным образом не мотивируют перевозчика исполнять без нарушений установленное расписание движения пассажирского транспорта. </w:t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2.4. Анализ опыта иных субъектов Российской Федерации </w:t>
      </w:r>
      <w:r>
        <w:rPr>
          <w:rFonts w:ascii="Times New Roman" w:hAnsi="Times New Roman" w:eastAsia="Calibri" w:cs="Times New Roman"/>
          <w:sz w:val="26"/>
          <w:szCs w:val="26"/>
        </w:rPr>
        <w:br/>
        <w:t xml:space="preserve">в соответствующих сферах </w:t>
      </w:r>
      <w:r>
        <w:rPr>
          <w:rFonts w:ascii="Times New Roman" w:hAnsi="Times New Roman" w:eastAsia="Calibri" w:cs="Times New Roman"/>
          <w:sz w:val="26"/>
          <w:szCs w:val="26"/>
        </w:rPr>
        <w:t xml:space="preserve">деятельности:*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6.4 закона Краснодарского края от 23</w:t>
      </w:r>
      <w:r>
        <w:rPr>
          <w:rFonts w:ascii="Times New Roman" w:hAnsi="Times New Roman" w:eastAsia="Calibri" w:cs="Times New Roman"/>
          <w:sz w:val="26"/>
          <w:szCs w:val="26"/>
        </w:rPr>
        <w:t xml:space="preserve"> июля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2003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 608-КЗ </w:t>
        <w:br/>
        <w:t xml:space="preserve">«Об административных правонарушениях»;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8.1 </w:t>
      </w:r>
      <w:r>
        <w:rPr>
          <w:rFonts w:ascii="Times New Roman" w:hAnsi="Times New Roman" w:eastAsia="Calibri" w:cs="Times New Roman"/>
          <w:sz w:val="26"/>
          <w:szCs w:val="26"/>
        </w:rPr>
        <w:t xml:space="preserve">закона Республики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Башкортостан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от 23</w:t>
      </w:r>
      <w:r>
        <w:rPr>
          <w:rFonts w:ascii="Times New Roman" w:hAnsi="Times New Roman" w:eastAsia="Calibri" w:cs="Times New Roman"/>
          <w:sz w:val="26"/>
          <w:szCs w:val="26"/>
        </w:rPr>
        <w:t xml:space="preserve"> июня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2011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413-з</w:t>
      </w:r>
      <w:r>
        <w:rPr>
          <w:rFonts w:ascii="Times New Roman" w:hAnsi="Times New Roman" w:eastAsia="Calibri" w:cs="Times New Roman"/>
          <w:sz w:val="26"/>
          <w:szCs w:val="26"/>
        </w:rPr>
        <w:t xml:space="preserve">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Кодек</w:t>
      </w:r>
      <w:r>
        <w:rPr>
          <w:rFonts w:ascii="Times New Roman" w:hAnsi="Times New Roman" w:eastAsia="Calibri" w:cs="Times New Roman"/>
          <w:sz w:val="26"/>
          <w:szCs w:val="26"/>
        </w:rPr>
        <w:t xml:space="preserve">с</w:t>
      </w:r>
      <w:r>
        <w:rPr>
          <w:rFonts w:ascii="Times New Roman" w:hAnsi="Times New Roman" w:eastAsia="Calibri" w:cs="Times New Roman"/>
          <w:sz w:val="26"/>
          <w:szCs w:val="26"/>
        </w:rPr>
        <w:t xml:space="preserve"> Республики Башкортостан об административных правонарушениях</w:t>
      </w:r>
      <w:r>
        <w:rPr>
          <w:rFonts w:ascii="Times New Roman" w:hAnsi="Times New Roman" w:eastAsia="Calibri" w:cs="Times New Roman"/>
          <w:sz w:val="26"/>
          <w:szCs w:val="26"/>
        </w:rPr>
        <w:t xml:space="preserve">»</w:t>
      </w:r>
      <w:r>
        <w:rPr>
          <w:rFonts w:ascii="Times New Roman" w:hAnsi="Times New Roman" w:eastAsia="Calibri" w:cs="Times New Roman"/>
          <w:sz w:val="26"/>
          <w:szCs w:val="26"/>
        </w:rPr>
        <w:t xml:space="preserve">;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8.2.1 закона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Пермского края от 06</w:t>
      </w:r>
      <w:r>
        <w:rPr>
          <w:rFonts w:ascii="Times New Roman" w:hAnsi="Times New Roman" w:eastAsia="Calibri" w:cs="Times New Roman"/>
          <w:sz w:val="26"/>
          <w:szCs w:val="26"/>
        </w:rPr>
        <w:t xml:space="preserve"> апреля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2015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460-ПК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  <w:br/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Об административных правонарушениях в Пермском крае</w:t>
      </w:r>
      <w:r>
        <w:rPr>
          <w:rFonts w:ascii="Times New Roman" w:hAnsi="Times New Roman" w:eastAsia="Calibri" w:cs="Times New Roman"/>
          <w:sz w:val="26"/>
          <w:szCs w:val="26"/>
        </w:rPr>
        <w:t xml:space="preserve">»;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4.8 </w:t>
      </w:r>
      <w:r>
        <w:rPr>
          <w:rFonts w:ascii="Times New Roman" w:hAnsi="Times New Roman" w:eastAsia="Calibri" w:cs="Times New Roman"/>
          <w:sz w:val="26"/>
          <w:szCs w:val="26"/>
        </w:rPr>
        <w:t xml:space="preserve">з</w:t>
      </w:r>
      <w:r>
        <w:rPr>
          <w:rFonts w:ascii="Times New Roman" w:hAnsi="Times New Roman" w:eastAsia="Calibri" w:cs="Times New Roman"/>
          <w:sz w:val="26"/>
          <w:szCs w:val="26"/>
        </w:rPr>
        <w:t xml:space="preserve">акона Саратовской области от 29 июля 2009 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104-ЗСО </w:t>
      </w:r>
      <w:r>
        <w:rPr>
          <w:rFonts w:ascii="Times New Roman" w:hAnsi="Times New Roman" w:eastAsia="Calibri" w:cs="Times New Roman"/>
          <w:sz w:val="26"/>
          <w:szCs w:val="26"/>
        </w:rPr>
        <w:br/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Об административных правонарушениях на территории Саратовской области</w:t>
      </w:r>
      <w:r>
        <w:rPr>
          <w:rFonts w:ascii="Times New Roman" w:hAnsi="Times New Roman" w:eastAsia="Calibri" w:cs="Times New Roman"/>
          <w:sz w:val="26"/>
          <w:szCs w:val="26"/>
        </w:rPr>
        <w:t xml:space="preserve">»;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44 закона</w:t>
      </w:r>
      <w:r>
        <w:rPr>
          <w:rFonts w:ascii="Times New Roman" w:hAnsi="Times New Roman" w:eastAsia="Calibri" w:cs="Times New Roman"/>
          <w:sz w:val="26"/>
          <w:szCs w:val="26"/>
        </w:rPr>
        <w:t xml:space="preserve"> Забайкальского края от 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июля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2009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198-ЗЗК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  <w:br/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Об административных правонарушениях</w:t>
      </w:r>
      <w:r>
        <w:rPr>
          <w:rFonts w:ascii="Times New Roman" w:hAnsi="Times New Roman" w:eastAsia="Calibri" w:cs="Times New Roman"/>
          <w:sz w:val="26"/>
          <w:szCs w:val="26"/>
        </w:rPr>
        <w:t xml:space="preserve">»</w:t>
      </w:r>
      <w:r>
        <w:rPr>
          <w:rFonts w:ascii="Times New Roman" w:hAnsi="Times New Roman" w:eastAsia="Calibri" w:cs="Times New Roman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</w:t>
      </w:r>
      <w:r>
        <w:rPr>
          <w:rFonts w:ascii="Times New Roman" w:hAnsi="Times New Roman" w:eastAsia="Calibri" w:cs="Times New Roman"/>
          <w:sz w:val="26"/>
          <w:szCs w:val="26"/>
        </w:rPr>
        <w:t xml:space="preserve">статья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70-1 з</w:t>
      </w:r>
      <w:r>
        <w:rPr>
          <w:rFonts w:ascii="Times New Roman" w:hAnsi="Times New Roman" w:eastAsia="Calibri" w:cs="Times New Roman"/>
          <w:sz w:val="26"/>
          <w:szCs w:val="26"/>
        </w:rPr>
        <w:t xml:space="preserve">акон</w:t>
      </w:r>
      <w:r>
        <w:rPr>
          <w:rFonts w:ascii="Times New Roman" w:hAnsi="Times New Roman" w:eastAsia="Calibri" w:cs="Times New Roman"/>
          <w:sz w:val="26"/>
          <w:szCs w:val="26"/>
        </w:rPr>
        <w:t xml:space="preserve">а</w:t>
      </w:r>
      <w:r>
        <w:rPr>
          <w:rFonts w:ascii="Times New Roman" w:hAnsi="Times New Roman" w:eastAsia="Calibri" w:cs="Times New Roman"/>
          <w:sz w:val="26"/>
          <w:szCs w:val="26"/>
        </w:rPr>
        <w:t xml:space="preserve"> Калининградской области от 12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мая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2008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244 </w:t>
      </w:r>
      <w:r>
        <w:rPr>
          <w:rFonts w:ascii="Times New Roman" w:hAnsi="Times New Roman" w:eastAsia="Calibri" w:cs="Times New Roman"/>
          <w:sz w:val="26"/>
          <w:szCs w:val="26"/>
        </w:rPr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Кодекс Калининградской области об административных правонарушениях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</w:t>
      </w:r>
      <w:r>
        <w:rPr>
          <w:rFonts w:ascii="Times New Roman" w:hAnsi="Times New Roman" w:eastAsia="Calibri" w:cs="Times New Roman"/>
          <w:sz w:val="26"/>
          <w:szCs w:val="26"/>
        </w:rPr>
        <w:t xml:space="preserve">(</w:t>
      </w:r>
      <w:r>
        <w:rPr>
          <w:rFonts w:ascii="Times New Roman" w:hAnsi="Times New Roman" w:eastAsia="Calibri" w:cs="Times New Roman"/>
          <w:sz w:val="26"/>
          <w:szCs w:val="26"/>
        </w:rPr>
        <w:t xml:space="preserve">в части нарушения расписание регулярных перевозок по нерегулируемым тарифам);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статья закона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Ставропольского края от 10</w:t>
      </w:r>
      <w:r>
        <w:rPr>
          <w:rFonts w:ascii="Times New Roman" w:hAnsi="Times New Roman" w:eastAsia="Calibri" w:cs="Times New Roman"/>
          <w:sz w:val="26"/>
          <w:szCs w:val="26"/>
        </w:rPr>
        <w:t xml:space="preserve"> апреля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2008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20-кз </w:t>
      </w:r>
      <w:r>
        <w:rPr>
          <w:rFonts w:ascii="Times New Roman" w:hAnsi="Times New Roman" w:eastAsia="Calibri" w:cs="Times New Roman"/>
          <w:sz w:val="26"/>
          <w:szCs w:val="26"/>
        </w:rPr>
        <w:br/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Об административных правонарушениях в Ставропольском крае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(в части нарушения расписание регулярных перевозок по нерегулируемым тарифам);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ab/>
        <w:t xml:space="preserve">- статья 13.4 закона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Ульяновской области от 28</w:t>
      </w:r>
      <w:r>
        <w:rPr>
          <w:rFonts w:ascii="Times New Roman" w:hAnsi="Times New Roman" w:eastAsia="Calibri" w:cs="Times New Roman"/>
          <w:sz w:val="26"/>
          <w:szCs w:val="26"/>
        </w:rPr>
        <w:t xml:space="preserve"> февраля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2011 </w:t>
      </w:r>
      <w:r>
        <w:rPr>
          <w:rFonts w:ascii="Times New Roman" w:hAnsi="Times New Roman" w:eastAsia="Calibri" w:cs="Times New Roman"/>
          <w:sz w:val="26"/>
          <w:szCs w:val="26"/>
        </w:rPr>
        <w:t xml:space="preserve">года </w:t>
      </w:r>
      <w:r>
        <w:rPr>
          <w:rFonts w:ascii="Times New Roman" w:hAnsi="Times New Roman" w:eastAsia="Calibri" w:cs="Times New Roman"/>
          <w:sz w:val="26"/>
          <w:szCs w:val="26"/>
        </w:rPr>
        <w:t xml:space="preserve">№</w:t>
      </w:r>
      <w:r>
        <w:rPr>
          <w:rFonts w:ascii="Times New Roman" w:hAnsi="Times New Roman" w:eastAsia="Calibri" w:cs="Times New Roman"/>
          <w:sz w:val="26"/>
          <w:szCs w:val="26"/>
        </w:rPr>
        <w:t xml:space="preserve"> 16-ЗО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Кодекс Ульяновской области об административных правонарушениях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(в части нарушения расписание регулярных перевозок по нерегулируемым тарифам).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 Цели вводимого правового регулирования и измеримые показатели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br/>
        <w:t xml:space="preserve">их достижения: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3.1. Описание целей предлагаемого правового регулирования: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Проект закона разработан в целях обеспечения безопасности жителей </w:t>
      </w:r>
      <w:r>
        <w:rPr>
          <w:rFonts w:ascii="Times New Roman" w:hAnsi="Times New Roman" w:eastAsia="Calibri" w:cs="Times New Roman"/>
          <w:sz w:val="26"/>
          <w:szCs w:val="26"/>
        </w:rPr>
        <w:br/>
        <w:t xml:space="preserve">г. Белгорода и Белгородского района, исключения случаев скопления граждан на остановках общественного транспорта, </w:t>
      </w:r>
      <w:r>
        <w:rPr>
          <w:rFonts w:ascii="Times New Roman" w:hAnsi="Times New Roman" w:eastAsia="Calibri" w:cs="Times New Roman"/>
          <w:sz w:val="26"/>
          <w:szCs w:val="26"/>
        </w:rPr>
        <w:t xml:space="preserve">и направлен на усиление административного контроля и предупреждение совершения административных правонарушений в отношении </w:t>
      </w:r>
      <w:r>
        <w:rPr>
          <w:rFonts w:ascii="Times New Roman" w:hAnsi="Times New Roman" w:eastAsia="Calibri" w:cs="Times New Roman"/>
          <w:sz w:val="26"/>
          <w:szCs w:val="26"/>
        </w:rPr>
        <w:t xml:space="preserve">недобросовестных перевозчиков, допускающих нарушения установленного расписания движения на маршрутах регулярных перевозок пассажиров и багажа автомобильным транспорт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eastAsia="Calibri" w:cs="Times New Roman"/>
          <w:sz w:val="26"/>
          <w:szCs w:val="26"/>
        </w:rPr>
        <w:t xml:space="preserve">, что позволит должным образом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мотивировать недобросовестных перевозчиков соблюдать установленное расписание движения по маршрут</w:t>
      </w:r>
      <w:r>
        <w:rPr>
          <w:rFonts w:ascii="Times New Roman" w:hAnsi="Times New Roman" w:eastAsia="Calibri" w:cs="Times New Roman"/>
          <w:sz w:val="26"/>
          <w:szCs w:val="26"/>
        </w:rPr>
        <w:t xml:space="preserve">ам регулярных перевозок, а также максимально исключить случаи скопления граждан на остановках общественного транспорта, что должным образом снизить угрозы их жизни и здоровью, в результате текущей оперативной обстановки на территории Белгородской области.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3.2. Обоснование соответствия целей предлагаемого правового регулирования принципам правового регулирования: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Представленный проект закона Белгородской области подготовлен в связи с отсутствием достаточных мер воздействия на недобросовестных перевозчиков, допускающих нарушения уста</w:t>
      </w:r>
      <w:r>
        <w:rPr>
          <w:rFonts w:ascii="Times New Roman" w:hAnsi="Times New Roman" w:eastAsia="Calibri" w:cs="Times New Roman"/>
          <w:sz w:val="26"/>
          <w:szCs w:val="26"/>
        </w:rPr>
        <w:t xml:space="preserve">новленного расписания движения на маршрутах регулярных перевозок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регулярных перев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озок в пригородном сообщении городского округа «Город Белгород» и муниципального района «Белгородский район», т.к. в соответствии с положениями 220 Федерального закона от 13 июля 2015 года регламентирующего организацию регулярных пассажирских перевозок и  </w:t>
      </w:r>
      <w:r>
        <w:rPr>
          <w:rFonts w:ascii="Times New Roman" w:hAnsi="Times New Roman" w:eastAsia="Calibri" w:cs="Times New Roman"/>
          <w:sz w:val="26"/>
          <w:szCs w:val="26"/>
        </w:rPr>
        <w:t xml:space="preserve">постановлением Правительства РФ от 19 августа 2022 года № 1445 предусматривающее обязательное условия государственных контрактов на осуществление регулярных пассажирских перевозок, размер штрафных санкций за указанные нарушения составляет 1000 рублей, что </w:t>
      </w:r>
      <w:r>
        <w:rPr>
          <w:rFonts w:ascii="Times New Roman" w:hAnsi="Times New Roman" w:eastAsia="PT Astra Serif" w:cs="Times New Roman"/>
          <w:color w:val="000000" w:themeColor="text1"/>
          <w:sz w:val="26"/>
          <w:szCs w:val="26"/>
        </w:rPr>
        <w:t xml:space="preserve">должным образом не мотивируют перевозчика исполнять без нарушений установленное расписание движения пассажирского транспорта.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3.3. Сроки достижения целей предлагаемого правового регулирования: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Постоянно.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3.4. Иная информация о целях предлагаемого правового регулирования: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Отсутствует.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contextualSpacing/>
        <w:ind w:left="709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contextualSpacing/>
        <w:ind w:left="709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4. Описание предлагаемого правового регулирования: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4.1. Описание предлагаемого способа решения проблемы и преодоления связанных с ней негативных эффектов: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Законопроектом предусмотрено введений нормы статьи, предусматривающей административную ответственность в отношении недобросовестных перевозчиков, осуществляющих регулярные</w:t>
      </w:r>
      <w:r>
        <w:rPr>
          <w:rFonts w:ascii="Times New Roman" w:hAnsi="Times New Roman" w:eastAsia="Calibri" w:cs="Times New Roman"/>
          <w:sz w:val="26"/>
          <w:szCs w:val="26"/>
        </w:rPr>
        <w:t xml:space="preserve">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</w:t>
      </w:r>
      <w:r>
        <w:rPr>
          <w:rFonts w:ascii="Times New Roman" w:hAnsi="Times New Roman" w:eastAsia="Calibri" w:cs="Times New Roman"/>
          <w:sz w:val="26"/>
          <w:szCs w:val="26"/>
        </w:rPr>
        <w:t xml:space="preserve">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маршруте, в виде наложения административного штрафа в следующих размерах: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на граждан в размере трех тысяч рублей; на должностных лиц – тридцати тысяч рублей; на юридических лиц – ста тысяч рублей.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При этом, за повторное совершение в течение года после применения мер административного взыскания, предусмотрено наложение административного штрафа в следующих размерах: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на граждан в размере пяти тысяч рублей; на должностных лиц – пятидесяти тысяч рублей; на юридических лиц – ста шестидесяти тысяч рублей.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Принятие указанной нормы </w:t>
      </w:r>
      <w:r>
        <w:rPr>
          <w:rFonts w:ascii="Times New Roman" w:hAnsi="Times New Roman" w:eastAsia="Calibri" w:cs="Times New Roman"/>
          <w:sz w:val="26"/>
          <w:szCs w:val="26"/>
        </w:rPr>
        <w:t xml:space="preserve">необходимым образом усилит административный контроль и повысит ответственность перевозчиков за нарушение установленного расписания движения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маршрутов регулярных перевозок, а также </w:t>
      </w:r>
      <w:r>
        <w:rPr>
          <w:rFonts w:ascii="Times New Roman" w:hAnsi="Times New Roman" w:eastAsia="Calibri" w:cs="Times New Roman"/>
          <w:sz w:val="26"/>
          <w:szCs w:val="26"/>
        </w:rPr>
        <w:t xml:space="preserve">положительно скажется на соблюдении вышеуказанными перевозчиками расписания регулярных перевозок, что позволит избежать скопления граждан на остановках общественного транспорта, и свою очередь исключить у</w:t>
      </w:r>
      <w:r>
        <w:rPr>
          <w:rFonts w:ascii="Times New Roman" w:hAnsi="Times New Roman" w:eastAsia="Calibri" w:cs="Times New Roman"/>
          <w:sz w:val="26"/>
          <w:szCs w:val="26"/>
        </w:rPr>
        <w:t xml:space="preserve">грозу безопасности жизни и здоровья последних, с учетом оперативной обстановкой на территории Белгородской области в результате обстрелов и террористических актов со стороны вооруженных формирований Украины в период проведения специальной военной операции.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4.2. Альтернативные варианты решения проблемы: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Альтернативным с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пособ решения вышеуказанных проблем, является изменение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ответственности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в от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ношении недобросовестных перевозчиков, осуществляющих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рных перевозок в пригородном сообщении городского округа «Город Белгород» и муниципального района «Белгородский район», допускающих нарушение установленного расписания движения в объеме превышающем 10 процентов от установленного на соответствующем маршруте.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Вместе с тем, ука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занный альтернативный способ, должным образом не позволит решить вышеуказанные проблемы, поскольку в случае установления порога допуска на отклонение от установленного расписания в пределах, превышающих 5 процентов, указанная мера воздействия не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окажет соответствующего эффекта на недобросовестных перевозчиков, т.к. последние продолжат допускать случаи несоблюдения расписания, и более того, увеличат их количество, что негативно скажется на времени ожидания пассажиров,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т.е. приведет к их скоплению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на остановках общественного транспорта в пределах Белгородской агломерации, в частности на тех маршрутах, где установлено минимальное количество выполняемых рейсов в день, например № 18 (предусмотренно 269 рейсов,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5% будет не исполняться 14 рейсов, тогда как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10% - 27 рейсов), № 45 (предусмотрено 160 рейсов, при отклонении 5% будет не исполняться 8 рейсов, тогда как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10% будет не исполнять 16 рейсов), маршрут № 117 (предусмотрено 28 рейсов,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5% будет не исполняться 1 рейс, тогда как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10% будет не исполняться 3 рейса), маршрут № 129 (предусмотрено 110 рейсов,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5% будет не исполняться 5 рейсов, тогда как при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отклонении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10% будет не исполняться 11 рейсов), т.е. фактически позволит перевозчику не выпускать на линию не менее 1 транспортного средства,  что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с учетом оперативной обстановкой на территории Белгородской области в результате обстрелов и террористических актов со стороны вооруженных формирований Украины в период проведения специальной военной операции, окажет прямую угрозу их безопасности, жизни и здоровью.</w:t>
      </w:r>
      <w:r/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4.3. Обоснование выбора предлагаемого способа решения проблемы: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Предпочтительным вариантом р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ешения выявленной проблемы является принятие проекта закона Белгородской области ««О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Указанный вариант позволит решит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ь проблему, связанную как с отсутствием необходимого правового регулирования ответственности, за нарушение перевозчиками, осуществляющими регулярные перевозки пассажиров и багажа автомобильным транспортом на территории городского округа «Город Белгород» 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муниципального района «Белгородский район» и (или) межмуниципального маршрута регулярных перевозок в пригородном сообщении городс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кого округа «Город Белгород» и муниципального района «Белгородский район», установленного расписания движения, так и избыточного скопления граждан на остановках общественного транспорта, вызванного по причинам нарушения установленного расписания движения. </w:t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4.4.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Calibri" w:cs="Times New Roman"/>
          <w:bCs/>
          <w:sz w:val="26"/>
          <w:szCs w:val="26"/>
        </w:rPr>
        <w:t xml:space="preserve">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регулированием. Оценка их количественного состава: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Предлагаемый проект изменения закона белгородской области коснется только тех хозяйствующих субъектов, которые осуществляют регулярные перевозки пассажиров и багажа автомобильным транспорто</w:t>
      </w:r>
      <w:r>
        <w:rPr>
          <w:rFonts w:ascii="Times New Roman" w:hAnsi="Times New Roman" w:eastAsia="Calibri" w:cs="Times New Roman"/>
          <w:bCs/>
          <w:sz w:val="26"/>
          <w:szCs w:val="26"/>
        </w:rPr>
        <w:t xml:space="preserve">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tbl>
      <w:tblPr>
        <w:tblpPr w:horzAnchor="margin" w:tblpXSpec="left" w:vertAnchor="text" w:tblpY="50" w:leftFromText="180" w:topFromText="0" w:rightFromText="180" w:bottomFromText="0"/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5"/>
        <w:gridCol w:w="3402"/>
      </w:tblGrid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5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Группа участников отношений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Оценка количества участников отношений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5" w:type="dxa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Перевозчики, осуществляющие регулярные перевозки пассажиров и багажа автомобильным транспорт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ом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6 организаций/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1175 должностных лиц организаций, осуществляющих регулярные пассажирские перевозки на территории г. Белгорода 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4.5. Оценка изменений обязательных требований, обязанностей, ограничений </w:t>
      </w:r>
      <w:r>
        <w:rPr>
          <w:rFonts w:ascii="Times New Roman" w:hAnsi="Times New Roman" w:eastAsia="Calibri" w:cs="Times New Roman"/>
          <w:bCs/>
          <w:sz w:val="26"/>
          <w:szCs w:val="26"/>
        </w:rPr>
        <w:br/>
        <w:t xml:space="preserve">и преимуществ, ответственности за нарушение нормативных правовых актов Белгородской области, расходов и доходов, а также ожидаемых издержек и выгод </w:t>
      </w:r>
      <w:r>
        <w:rPr>
          <w:rFonts w:ascii="Times New Roman" w:hAnsi="Times New Roman" w:eastAsia="Calibri" w:cs="Times New Roman"/>
          <w:bCs/>
          <w:sz w:val="26"/>
          <w:szCs w:val="26"/>
        </w:rPr>
        <w:br/>
        <w:t xml:space="preserve">для субъектов предпринимательской и иной экономической деятельности, интересы которых затрагиваются вводимым правовым регулированием: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</w:r>
      <w:r>
        <w:rPr>
          <w:rFonts w:ascii="Times New Roman" w:hAnsi="Times New Roman" w:eastAsia="Calibri" w:cs="Times New Roman"/>
          <w:sz w:val="20"/>
          <w:szCs w:val="20"/>
        </w:rPr>
      </w:r>
    </w:p>
    <w:tbl>
      <w:tblPr>
        <w:tblpPr w:horzAnchor="margin" w:tblpXSpec="left" w:vertAnchor="text" w:tblpY="69" w:leftFromText="180" w:topFromText="0" w:rightFromText="180" w:bottomFromText="0"/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3400"/>
        <w:gridCol w:w="312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47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Группа участников отношений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0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новых или изменения содержания существующих обязательных требований, обязанностей, ограничений, преимуществ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Оценка изменения расходов/доходов,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издержек/выгод,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47" w:type="dxa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Перевозчики, осуществляющие регулярные перевозки пассажиров и багажа автомобильным транспортом на территории городского округа «Город Белгород» и муниципального района «Белгородский район» и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0" w:type="dxa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Введена административная ответственность в отношении недобросовестных перевозчиков, осуществляющих регулярные перевозки пассажиров и багажа автомобильным транспортом на территории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Белгород» и муниципального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маршруте, в виде наложения административного штрафа в следующих размерах: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 граждан в размере трех тысяч рублей; на должностных лиц – тридцати тысяч рублей; на юридических лиц – ста тысяч рублей.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При этом, за повторное совершение в течение года после применения мер административного взыскания, предусмотрено наложение административного штрафа в следующих размерах: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 граждан в размере пяти тысяч рублей; на должностных лиц – пятидесяти тысяч рублей; на юридических лиц – ста шестидесяти тысяч рублей.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  <w:t xml:space="preserve">Расх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  <w:t xml:space="preserve">оды в части уплаты штрафов,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  <w:t xml:space="preserve"> полученных от вынесенных постановлений по делам об административных правонарушениях: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5 786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(среднее количество рейсов в день на территории Белгородской агломерации)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 - 15 %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средний показатель невыполненных рейсов)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/ 134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(количество установленных маршрутов на территории Белгородской агломерации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=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среднее количество возможных нарушений в день)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* 3 000\5 000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(штраф для водителей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)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+ </w:t>
              <w:br/>
              <w:t xml:space="preserve">30 000\50 000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штраф для должностных лиц)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+ </w:t>
            </w:r>
            <w:r>
              <w:rPr>
                <w:rFonts w:ascii="Times New Roman" w:hAnsi="Times New Roman" w:eastAsia="Times New Roman"/>
                <w:bCs w:val="0"/>
                <w:i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 w:val="0"/>
                <w:i w:val="0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100 000\160 000 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(штраф для юридических лиц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  <w:vertAlign w:val="superscript"/>
              </w:rPr>
              <w:t xml:space="preserve">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highlight w:val="none"/>
                <w:lang w:eastAsia="ru-RU"/>
              </w:rPr>
              <w:t xml:space="preserve">) </w:t>
            </w:r>
            <w:r>
              <w:rPr>
                <w:rFonts w:ascii="Times New Roman" w:hAnsi="Times New Roman" w:eastAsia="Calibri" w:cs="Times New Roman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Calibri" w:cs="Times New Roman"/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i w:val="0"/>
                <w:iCs w:val="0"/>
                <w:sz w:val="24"/>
                <w:szCs w:val="24"/>
                <w:highlight w:val="none"/>
              </w:rPr>
              <w:t xml:space="preserve">от 798 000 при соверше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highlight w:val="none"/>
              </w:rPr>
              <w:t xml:space="preserve">нии правонарушения впервые до 1 290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 000 рублей в день при повторном нарушении в течение года.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0"/>
          <w:szCs w:val="20"/>
        </w:rPr>
      </w:pPr>
      <w:r>
        <w:rPr>
          <w:rFonts w:ascii="Times New Roman" w:hAnsi="Times New Roman" w:eastAsia="Calibri" w:cs="Times New Roman"/>
          <w:bCs/>
          <w:sz w:val="20"/>
          <w:szCs w:val="20"/>
        </w:rPr>
      </w:r>
      <w:r>
        <w:rPr>
          <w:rFonts w:ascii="Times New Roman" w:hAnsi="Times New Roman" w:eastAsia="Calibri" w:cs="Times New Roman"/>
          <w:bCs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4.6. Новые функции, полномочия, обязанности и права, а также ожидаемые издержки и выгоды органов государственной власти и органов местного самоуправления области или сведения об их </w:t>
      </w:r>
      <w:r>
        <w:rPr>
          <w:rFonts w:ascii="Times New Roman" w:hAnsi="Times New Roman" w:eastAsia="Calibri" w:cs="Times New Roman"/>
          <w:bCs/>
          <w:sz w:val="26"/>
          <w:szCs w:val="26"/>
        </w:rPr>
        <w:t xml:space="preserve">изменении:*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</w:r>
      <w:r>
        <w:rPr>
          <w:rFonts w:ascii="Times New Roman" w:hAnsi="Times New Roman" w:eastAsia="Calibri" w:cs="Times New Roman"/>
          <w:sz w:val="20"/>
          <w:szCs w:val="20"/>
        </w:rPr>
      </w:r>
    </w:p>
    <w:tbl>
      <w:tblPr>
        <w:tblpPr w:horzAnchor="margin" w:tblpXSpec="left" w:vertAnchor="text" w:tblpY="75" w:leftFromText="180" w:topFromText="0" w:rightFromText="180" w:bottomFromText="0"/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4110"/>
        <w:gridCol w:w="226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Наименование органа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новых или изменения существующих функций, полномочий, обязанностей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/>
              <w:t xml:space="preserve">или прав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Оценка изменения трудозатрат и (или) потребностей в иных ресурсах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89" w:type="dxa"/>
            <w:textDirection w:val="lrTb"/>
            <w:noWrap w:val="false"/>
          </w:tcPr>
          <w:p>
            <w:pPr>
              <w:ind w:right="-28"/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Министерство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автомобильных дорог и транспорта Белгородской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области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Наделение должностных лиц министерства автомобильных дорог и транспорта Белгородской области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полномочиями по составлению протоколов об административной ответственности за нарушение за правонарушения в сфере транспортного обслуживания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населения Белгородской области)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</w:r>
      <w:r>
        <w:rPr>
          <w:rFonts w:ascii="Times New Roman" w:hAnsi="Times New Roman" w:eastAsia="Calibri" w:cs="Times New Roman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4.7. Оценка расходов (возможных поступлений) консолидированного бюджета Белгородской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области:*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</w:r>
      <w:r>
        <w:rPr>
          <w:rFonts w:ascii="Times New Roman" w:hAnsi="Times New Roman" w:eastAsia="Calibri" w:cs="Times New Roman"/>
          <w:sz w:val="20"/>
          <w:szCs w:val="20"/>
        </w:rPr>
      </w:r>
    </w:p>
    <w:tbl>
      <w:tblPr>
        <w:tblpPr w:horzAnchor="margin" w:tblpXSpec="left" w:vertAnchor="text" w:tblpY="58" w:leftFromText="180" w:topFromText="0" w:rightFromText="180" w:bottomFromText="0"/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4110"/>
        <w:gridCol w:w="2268"/>
      </w:tblGrid>
      <w:tr>
        <w:tblPrEx/>
        <w:trPr/>
        <w:tc>
          <w:tcPr>
            <w:tcW w:w="32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новых или изменения существующих функций, полномочий, обязанностей или прав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видов расходов (возможных поступлений) консолидированного бюджета Белгородской области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Количественная оценка расходов и возможных поступлений,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289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Министерство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автомобильных дорог и транспорта Белгородской области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Доходы, полученные от вынесенных постановлений по делам об административных правонарушениях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за правонарушения в сфере транспортного обслуживания населения Белгородской области)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Доходы, полученные от вынесенных постановлений по делам об административных прав</w:t>
            </w:r>
            <w:r>
              <w:rPr>
                <w:rFonts w:ascii="Times New Roman" w:hAnsi="Times New Roman" w:eastAsia="Calibri" w:cs="Times New Roman"/>
                <w:bCs/>
                <w:i w:val="0"/>
                <w:iCs w:val="0"/>
                <w:sz w:val="24"/>
                <w:szCs w:val="24"/>
              </w:rPr>
              <w:t xml:space="preserve">онарушениях:</w:t>
            </w:r>
            <w:r>
              <w:rPr>
                <w:rFonts w:ascii="Times New Roman" w:hAnsi="Times New Roman" w:eastAsia="Calibri" w:cs="Times New Roman"/>
                <w:bCs/>
                <w:i w:val="0"/>
                <w:iCs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Cs w:val="0"/>
                <w:i w:val="0"/>
                <w:sz w:val="24"/>
                <w:szCs w:val="24"/>
                <w:lang w:eastAsia="ru-RU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5 786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(среднее количество рейсов в день на территории Белгородской агломерации)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 - 15 %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средний показатель невыполненных рейсов)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/ 134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(количество установленных маршрутов на территории Белгородской агломерации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=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среднее количество возможных нарушений в день)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* 3 000\5 000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(штраф для водителей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)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+ </w:t>
              <w:br/>
              <w:t xml:space="preserve">30 000\50 000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штраф для должностных лиц) 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 w:eastAsia="Calibri" w:cs="Times New Roman"/>
                <w:bCs w:val="0"/>
                <w:i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100 000\160 000  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(штраф для юридических лиц</w:t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  <w:vertAlign w:val="superscript"/>
              </w:rPr>
              <w:t xml:space="preserve">)</w:t>
            </w:r>
            <w:r>
              <w:rPr>
                <w:rFonts w:ascii="Times New Roman" w:hAnsi="Times New Roman" w:eastAsia="Times New Roman"/>
                <w:i w:val="0"/>
                <w:iCs w:val="0"/>
                <w:sz w:val="24"/>
                <w:szCs w:val="24"/>
                <w:lang w:eastAsia="ru-RU"/>
              </w:rPr>
              <w:t xml:space="preserve">) </w:t>
            </w:r>
            <w:r>
              <w:rPr>
                <w:i w:val="0"/>
                <w:iCs w:val="0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i w:val="0"/>
                <w:iCs w:val="0"/>
                <w:sz w:val="24"/>
                <w:szCs w:val="24"/>
              </w:rPr>
              <w:t xml:space="preserve">от 798 000 при соверше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нии правонарушения впервые до 1 290 000 рублей в день при повторном нарушении в течение года.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4.8. Информация о наличии или отсутствии в проекте нормативного правового акта обязательных требований: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Обязательные требования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 проекте закона 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области», отсутствуют. 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0"/>
          <w:szCs w:val="20"/>
        </w:rPr>
      </w:pPr>
      <w:r>
        <w:rPr>
          <w:rFonts w:ascii="Times New Roman" w:hAnsi="Times New Roman" w:eastAsia="Calibri" w:cs="Times New Roman"/>
          <w:b/>
          <w:bCs/>
          <w:sz w:val="20"/>
          <w:szCs w:val="20"/>
        </w:rPr>
      </w:r>
      <w:r>
        <w:rPr>
          <w:rFonts w:ascii="Times New Roman" w:hAnsi="Times New Roman" w:eastAsia="Calibri" w:cs="Times New Roman"/>
          <w:b/>
          <w:bCs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5. 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0"/>
          <w:szCs w:val="20"/>
        </w:rPr>
      </w:pPr>
      <w:r>
        <w:rPr>
          <w:rFonts w:ascii="Times New Roman" w:hAnsi="Times New Roman" w:eastAsia="Calibri" w:cs="Times New Roman"/>
          <w:bCs/>
          <w:sz w:val="20"/>
          <w:szCs w:val="20"/>
        </w:rPr>
      </w:r>
      <w:r>
        <w:rPr>
          <w:rFonts w:ascii="Times New Roman" w:hAnsi="Times New Roman" w:eastAsia="Calibri" w:cs="Times New Roman"/>
          <w:bCs/>
          <w:sz w:val="20"/>
          <w:szCs w:val="20"/>
        </w:rPr>
      </w:r>
    </w:p>
    <w:tbl>
      <w:tblPr>
        <w:tblpPr w:horzAnchor="margin" w:tblpXSpec="left" w:vertAnchor="text" w:tblpY="189" w:leftFromText="180" w:topFromText="0" w:rightFromText="180" w:bottomFromText="0"/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1843"/>
        <w:gridCol w:w="481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Риски решения проблемы предложенным способом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 риски негативных последствий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Оценка вероятности наступления рисков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Методы контроля эффективности избранного способа достижения целей регулирования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5" w:type="dxa"/>
            <w:textDirection w:val="lrTb"/>
            <w:noWrap w:val="false"/>
          </w:tcPr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Неисполнение требований действующего законодательства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  <w:p>
            <w:pPr>
              <w:ind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Излишняя финансовая нагрузка в части оплаты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перевозчиками штрафов за нарушение установленного расписания движения по маршрутам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Низкая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Организационно-технические, мероприятия по мониторингу и пресечению административных правонарушений.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Нарушение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перевозчиками установленного расписания движения на маршруте влечет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административную ответственность в соответствии с действующим законодательством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6. Необходимые для достижения заявленных целей регулирования организационно-технические, методологические, информационные и иные </w:t>
      </w:r>
      <w:r>
        <w:rPr>
          <w:rFonts w:ascii="Times New Roman" w:hAnsi="Times New Roman" w:eastAsia="Calibri" w:cs="Times New Roman"/>
          <w:bCs/>
          <w:sz w:val="26"/>
          <w:szCs w:val="26"/>
        </w:rPr>
        <w:t xml:space="preserve">мероприятия:*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</w:rPr>
      </w:r>
    </w:p>
    <w:tbl>
      <w:tblPr>
        <w:tblW w:w="96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843"/>
        <w:gridCol w:w="2268"/>
        <w:gridCol w:w="1276"/>
        <w:gridCol w:w="141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Мероприятия, необходимые для достижения целей регулирования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Сроки реализации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ожидаемого результата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финансиро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Источники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финансиро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63" w:type="dxa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  <w:t xml:space="preserve">Размещение проекта 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  <w:t xml:space="preserve">в сети Интернет, на официальном сайте министерства экономического развития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  <w:t xml:space="preserve">и министерства автомобильных дорог и транспорта Белгородской области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Апрель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июнь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br/>
              <w:t xml:space="preserve">2024 года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Осведомленность субъектов о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наличии административной ответственности,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за нарушений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требований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установленного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законодательства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ind w:firstLine="709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7. Ожидаемые измеримые результаты правового </w:t>
      </w:r>
      <w:r>
        <w:rPr>
          <w:rFonts w:ascii="Times New Roman" w:hAnsi="Times New Roman" w:eastAsia="Calibri" w:cs="Times New Roman"/>
          <w:bCs/>
          <w:sz w:val="26"/>
          <w:szCs w:val="26"/>
        </w:rPr>
        <w:t xml:space="preserve">регулирования:*</w:t>
      </w:r>
      <w:r>
        <w:rPr>
          <w:rFonts w:ascii="Times New Roman" w:hAnsi="Times New Roman" w:eastAsia="Calibri" w:cs="Times New Roman"/>
          <w:bCs/>
          <w:sz w:val="26"/>
          <w:szCs w:val="26"/>
        </w:rPr>
      </w:r>
    </w:p>
    <w:p>
      <w:pPr>
        <w:ind w:firstLine="709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94"/>
        <w:gridCol w:w="1989"/>
        <w:gridCol w:w="2263"/>
        <w:gridCol w:w="2693"/>
      </w:tblGrid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Ключевые показатели достижения целей, заявленных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/>
              <w:t xml:space="preserve">в предложенном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регулировании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Количественное значение ключевых показателей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Методы контроля эффективности достижения целей правового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регулирования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Срок оценки достижения ключевых показателей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(не более 5 лет)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выявленных фактов нарушений перевозчиками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установленного расписания движения по маршруту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Менее 5 %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Анализ количества выявленных нарушений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сентябрь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2024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Calibri" w:cs="Times New Roman"/>
          <w:bCs/>
          <w:sz w:val="26"/>
          <w:szCs w:val="26"/>
        </w:rPr>
        <w:t xml:space="preserve">8. Предполагаемая дата вступления в силу проекта нормативного правового акта: 1 сентября 2024 года.</w:t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79"/>
        <w:gridCol w:w="466"/>
        <w:gridCol w:w="1385"/>
        <w:gridCol w:w="457"/>
        <w:gridCol w:w="457"/>
        <w:gridCol w:w="1810"/>
      </w:tblGrid>
      <w:tr>
        <w:tblPrEx/>
        <w:trPr>
          <w:trHeight w:val="419"/>
        </w:trPr>
        <w:tc>
          <w:tcPr>
            <w:shd w:val="clear" w:color="auto" w:fill="auto"/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18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  <w:tr>
        <w:tblPrEx/>
        <w:trPr>
          <w:trHeight w:val="679"/>
        </w:trPr>
        <w:tc>
          <w:tcPr>
            <w:shd w:val="clear" w:color="auto" w:fill="auto"/>
            <w:tcW w:w="5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Министр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автомобильных дорог и транспорта Белгородской области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13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18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5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Евтушенко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5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(инициалы, фамилия)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дата )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tcW w:w="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W w:w="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566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next w:val="653"/>
    <w:link w:val="6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53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after="0" w:line="240" w:lineRule="auto"/>
    </w:pPr>
  </w:style>
  <w:style w:type="paragraph" w:styleId="694">
    <w:name w:val="Title"/>
    <w:basedOn w:val="653"/>
    <w:next w:val="653"/>
    <w:link w:val="695"/>
    <w:uiPriority w:val="10"/>
    <w:qFormat/>
    <w:pPr>
      <w:contextualSpacing/>
      <w:spacing w:before="300"/>
    </w:pPr>
    <w:rPr>
      <w:sz w:val="48"/>
      <w:szCs w:val="48"/>
    </w:rPr>
  </w:style>
  <w:style w:type="character" w:styleId="695" w:customStyle="1">
    <w:name w:val="Заголовок Знак"/>
    <w:basedOn w:val="663"/>
    <w:link w:val="694"/>
    <w:uiPriority w:val="10"/>
    <w:rPr>
      <w:sz w:val="48"/>
      <w:szCs w:val="48"/>
    </w:rPr>
  </w:style>
  <w:style w:type="paragraph" w:styleId="696">
    <w:name w:val="Subtitle"/>
    <w:basedOn w:val="653"/>
    <w:next w:val="653"/>
    <w:link w:val="697"/>
    <w:uiPriority w:val="11"/>
    <w:qFormat/>
    <w:pPr>
      <w:spacing w:before="200"/>
    </w:pPr>
    <w:rPr>
      <w:sz w:val="24"/>
      <w:szCs w:val="24"/>
    </w:rPr>
  </w:style>
  <w:style w:type="character" w:styleId="697" w:customStyle="1">
    <w:name w:val="Подзаголовок Знак"/>
    <w:basedOn w:val="663"/>
    <w:link w:val="696"/>
    <w:uiPriority w:val="11"/>
    <w:rPr>
      <w:sz w:val="24"/>
      <w:szCs w:val="24"/>
    </w:rPr>
  </w:style>
  <w:style w:type="paragraph" w:styleId="698">
    <w:name w:val="Quote"/>
    <w:basedOn w:val="653"/>
    <w:next w:val="653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53"/>
    <w:next w:val="653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53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63"/>
    <w:link w:val="702"/>
    <w:uiPriority w:val="99"/>
  </w:style>
  <w:style w:type="paragraph" w:styleId="704">
    <w:name w:val="Footer"/>
    <w:basedOn w:val="6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63"/>
    <w:uiPriority w:val="99"/>
  </w:style>
  <w:style w:type="paragraph" w:styleId="706">
    <w:name w:val="Caption"/>
    <w:basedOn w:val="653"/>
    <w:next w:val="6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9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6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63"/>
    <w:uiPriority w:val="99"/>
    <w:unhideWhenUsed/>
    <w:rPr>
      <w:vertAlign w:val="superscript"/>
    </w:rPr>
  </w:style>
  <w:style w:type="paragraph" w:styleId="838">
    <w:name w:val="endnote text"/>
    <w:basedOn w:val="6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63"/>
    <w:uiPriority w:val="99"/>
    <w:semiHidden/>
    <w:unhideWhenUsed/>
    <w:rPr>
      <w:vertAlign w:val="superscript"/>
    </w:rPr>
  </w:style>
  <w:style w:type="paragraph" w:styleId="841">
    <w:name w:val="toc 1"/>
    <w:basedOn w:val="653"/>
    <w:next w:val="653"/>
    <w:uiPriority w:val="39"/>
    <w:unhideWhenUsed/>
    <w:pPr>
      <w:spacing w:after="57"/>
    </w:pPr>
  </w:style>
  <w:style w:type="paragraph" w:styleId="842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3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4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5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6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7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8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9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53"/>
    <w:next w:val="653"/>
    <w:uiPriority w:val="99"/>
    <w:unhideWhenUsed/>
    <w:pPr>
      <w:spacing w:after="0"/>
    </w:pPr>
  </w:style>
  <w:style w:type="paragraph" w:styleId="85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54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55" w:customStyle="1">
    <w:name w:val="ConsPlusCell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56" w:customStyle="1">
    <w:name w:val="ConsPlusDocList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7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58" w:customStyle="1">
    <w:name w:val="ConsPlusJurTerm"/>
    <w:pPr>
      <w:spacing w:after="0" w:line="240" w:lineRule="auto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859" w:customStyle="1">
    <w:name w:val="ConsPlusTextList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0" w:customStyle="1">
    <w:name w:val="Знак"/>
    <w:basedOn w:val="653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Сорочинская И. Л.</dc:creator>
  <cp:revision>65</cp:revision>
  <dcterms:created xsi:type="dcterms:W3CDTF">2022-04-27T14:18:00Z</dcterms:created>
  <dcterms:modified xsi:type="dcterms:W3CDTF">2024-03-19T12:31:30Z</dcterms:modified>
</cp:coreProperties>
</file>