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pStyle w:val="811"/>
              <w:jc w:val="both"/>
              <w:tabs>
                <w:tab w:val="left" w:pos="720" w:leader="none"/>
              </w:tabs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6"/>
                <w:szCs w:val="26"/>
              </w:rPr>
              <w:t xml:space="preserve">В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настоящее время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выполняются работы по межеванию автомобильных дорог регионального и межмуниципального значений. По итогам межевания с учетом кадастровых границ муниципальных образований уточнена протяженность автомобильных дорог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Старый Оскол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Чернянка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Новый Оскол, км 29+500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км 74+500 и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Короча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Новая Слободка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Хмелевое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Подольхи – Призначное.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связи с чем в </w:t>
            </w:r>
            <w:r>
              <w:rPr>
                <w:bCs/>
                <w:sz w:val="24"/>
                <w:szCs w:val="24"/>
              </w:rPr>
              <w:t xml:space="preserve">в постановление Прав</w:t>
            </w:r>
            <w:r>
              <w:rPr>
                <w:bCs/>
                <w:sz w:val="24"/>
                <w:szCs w:val="24"/>
              </w:rPr>
              <w:t xml:space="preserve">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необходимо внести соответствующие изменения относительно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автомобильных дорог общего пользования регионального и межмуниципал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ьног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о значения Белгородской области.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2023-08-10T11:55:00Z</dcterms:created>
  <dcterms:modified xsi:type="dcterms:W3CDTF">2024-02-06T07:38:23Z</dcterms:modified>
</cp:coreProperties>
</file>