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1 сентября 2024 года вступили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в силу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 изменения в федеральные законы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left"/>
        <w:spacing w:before="0" w:after="0" w:line="276" w:lineRule="atLeast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Федеральный закон от 08.11.2007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259-ФЗ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«Устав автомобильного транспорта и городского наземного электрического транспорта»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Roboto" w:cs="Times New Roman"/>
          <w:color w:val="000000" w:themeColor="text1"/>
          <w:sz w:val="24"/>
          <w:szCs w:val="24"/>
        </w:rPr>
        <w:t xml:space="preserve">Уточнен перечень видов деятельности по автоперевозкам: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регулярные перевозки пассажиров и багажа;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перевозки пассажиров и багажа по заказам;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ревозки пассажиров   и багажа легковыми такси;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перевозки грузов.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Осуществление иных видов предпринимательской деятельности по перевозкам пассажиров и багажа, грузов, а также распространение информации о такой деятельности запрещено.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Устанавливается, что при перевозке пассажиров и багажа по заказу не допускается заключение договоров фрахтования с каждым пассажиром в отдельности.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 допускается осуществление перевозок пассажиров и багажа по заказу на условиях,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предусматривающих предоставление права проезда в транспортном средстве за плату неопределенному кругу лиц, а также распространение информации об осуществлении перево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зок па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ссажиров и багажа по заказу на указанных условиях.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Соблюдение</w:t>
      </w:r>
      <w:r>
        <w:rPr>
          <w:rFonts w:ascii="Times New Roman" w:hAnsi="Times New Roman" w:eastAsia="Arial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перечисленных</w:t>
      </w:r>
      <w:r>
        <w:rPr>
          <w:rFonts w:ascii="Times New Roman" w:hAnsi="Times New Roman" w:eastAsia="Arial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обязательных  требований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стало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предметом федерального государственного контроля (надзора)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contextualSpacing w:val="0"/>
        <w:ind w:left="0" w:right="0" w:firstLine="539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Требование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к лицу, отказавшемуся от оплаты проезда, и (или) от оплаты перевозки следующих вместе с ним детей, и (или) от оплаты перевозки багажа и (или) провоза ручной клади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покинуть транспортное средство в ближайшем остановочном пункте с детьми, 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ледующими вместе с ним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не распространяется на лицо, не достигшее возраста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шестнадцати лет, следующее без сопровождения совершеннолетнего лица,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а также             на инвалида I группы, следующего без сопровождающего лица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(ч.22. ст. 20 Устава).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r>
      <w:r/>
    </w:p>
    <w:p>
      <w:pPr>
        <w:contextualSpacing w:val="0"/>
        <w:ind w:left="0" w:right="0" w:firstLine="0"/>
        <w:jc w:val="left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Федеральный закон от 29.12.2022 №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580-ФЗ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«Об организации перевозок пассажиров и багажа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легковым такси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в Российской Федерации,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 внесении изменений в отдельные законодательные акты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Российской Федерации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и о признании утратившими силу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отдельных положений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законодательных актов 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оссийской Федерации»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539"/>
        <w:jc w:val="both"/>
        <w:spacing w:before="0" w:after="0" w:line="288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Liberation Sans" w:cs="Times New Roman"/>
          <w:color w:val="000000" w:themeColor="text1"/>
          <w:sz w:val="24"/>
          <w:highlight w:val="none"/>
        </w:rPr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none"/>
        </w:rPr>
      </w:r>
      <w:r/>
    </w:p>
    <w:p>
      <w:pPr>
        <w:contextualSpacing w:val="0"/>
        <w:ind w:left="0" w:right="0" w:firstLine="539"/>
        <w:jc w:val="both"/>
        <w:spacing w:before="0" w:after="0" w:line="288" w:lineRule="atLeast"/>
        <w:rPr>
          <w:rFonts w:ascii="Times New Roman" w:hAnsi="Times New Roman" w:eastAsia="Liberation Sans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none"/>
        </w:rPr>
        <w:t xml:space="preserve">Д</w:t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white"/>
        </w:rPr>
        <w:t xml:space="preserve">ля легкового такси вводится обязательное страхование гражданской ответственности перевозчика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 </w:t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white"/>
        </w:rPr>
        <w:t xml:space="preserve">Договор </w:t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white"/>
        </w:rPr>
        <w:t xml:space="preserve">обязательного страхования гражданской ответственности перевозчика</w:t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white"/>
        </w:rPr>
        <w:t xml:space="preserve"> теперь нужно будет заключать в отношении каждого транспортного средства, внесенного в региональный реестр легковых такси. Контролировать заключение договора страхования перевозчиком будут с использованием реестра перевозчиков легковым такси и</w:t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white"/>
        </w:rPr>
        <w:t xml:space="preserve"> (или) федеральной государственной информационной системы легковых такси. </w:t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white"/>
        </w:rPr>
        <w:t xml:space="preserve">Заключение договора ОСГОП или изменения   в нем станут поводом для внесения соответствующих изменений в региональный реестр перевозчиков легковым такси</w:t>
      </w:r>
      <w:r>
        <w:rPr>
          <w:rFonts w:ascii="Times New Roman" w:hAnsi="Times New Roman" w:eastAsia="Liberation Sans" w:cs="Times New Roman"/>
          <w:color w:val="000000" w:themeColor="text1"/>
          <w:sz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В салоне легкового такси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должна быть размещена информация, содержащая следующие сведения: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государственный регистрационный номер транспортного средства, используемого в качестве легкового такси;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наименование перевозчика;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номер записи в региональном реестре перевозчиков легковым такси;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сведения о предоставлении перевозчику разрешения и сроке действия разрешения;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абонентский телефонный номер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перевозчика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для приема жалоб и предложений;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фамилия, имя, отчество (при наличии) водителя легкового такси;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абонентский телефонный номер уполномоченного органа;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о договоре обязательного страхования гражданской ответственности перевозчика               за причинение вреда жизни, здоровью, имуществу пассажиров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</w:rPr>
      </w:r>
      <w:r/>
    </w:p>
    <w:p>
      <w:pPr>
        <w:contextualSpacing w:val="0"/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Arial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лужба заказа легкового такси при осуществлении своей деятельности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обязана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оформлять документ о произошедшем событии на транспорте и его обстоятельствах,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white"/>
        </w:rPr>
        <w:t xml:space="preserve">         в случае причинения вреда жизни, здоровью, имуществу пассажира при перевозке легковым такси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i w:val="0"/>
          <w:iCs w:val="0"/>
          <w:color w:val="000000" w:themeColor="text1"/>
        </w:rPr>
      </w:r>
      <w:r/>
    </w:p>
    <w:p>
      <w:pPr>
        <w:contextualSpacing w:val="0"/>
        <w:ind w:left="0" w:right="0" w:firstLine="0"/>
        <w:jc w:val="left"/>
        <w:spacing w:before="0" w:after="0" w:line="276" w:lineRule="atLeast"/>
        <w:rPr>
          <w:rFonts w:ascii="Times New Roman" w:hAnsi="Times New Roman" w:cs="Times New Roman"/>
          <w:bCs w:val="0"/>
          <w:i w:val="0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Федеральный закон от 13.07.2015 №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220-ФЗ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contextualSpacing w:val="0"/>
        <w:ind w:left="0" w:right="0" w:firstLine="0"/>
        <w:jc w:val="center"/>
        <w:spacing w:before="0" w:after="0" w:line="276" w:lineRule="atLeast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bCs w:val="0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Закреплены понятия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срок эксплуатации транспортного средства» и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«в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ид маршрута регулярных перевозок»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</w:rPr>
        <w:t xml:space="preserve"> Исключено понятие «парковка»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Roboto" w:cs="Times New Roman"/>
          <w:i w:val="0"/>
          <w:iCs w:val="0"/>
          <w:color w:val="000000" w:themeColor="text1"/>
          <w:sz w:val="24"/>
          <w:szCs w:val="24"/>
        </w:rPr>
        <w:t xml:space="preserve">Определены сроки, в течение которых перевозчик обязан приступить к перевозкам   по установленному или измененному межрегиональному маршруту. </w:t>
      </w:r>
      <w:r>
        <w:rPr>
          <w:rFonts w:ascii="Times New Roman" w:hAnsi="Times New Roman" w:eastAsia="Roboto" w:cs="Times New Roman"/>
          <w:i w:val="0"/>
          <w:iCs w:val="0"/>
          <w:color w:val="000000" w:themeColor="text1"/>
          <w:sz w:val="24"/>
          <w:szCs w:val="24"/>
        </w:rPr>
        <w:t xml:space="preserve">Урегулированы вопросы изменения вида маршрута регулярных перевозок, а также выдачи дубликатов свидетельства о перевоз</w:t>
      </w:r>
      <w:r>
        <w:rPr>
          <w:rFonts w:ascii="Times New Roman" w:hAnsi="Times New Roman" w:eastAsia="Roboto" w:cs="Times New Roman"/>
          <w:i w:val="0"/>
          <w:iCs w:val="0"/>
          <w:color w:val="000000" w:themeColor="text1"/>
          <w:sz w:val="24"/>
          <w:szCs w:val="24"/>
        </w:rPr>
        <w:t xml:space="preserve">ке по определенному маршруту и карты маршрута. </w:t>
      </w:r>
      <w:r>
        <w:rPr>
          <w:rFonts w:ascii="Times New Roman" w:hAnsi="Times New Roman" w:eastAsia="Roboto" w:cs="Times New Roman"/>
          <w:i w:val="0"/>
          <w:iCs w:val="0"/>
          <w:color w:val="000000" w:themeColor="text1"/>
          <w:sz w:val="24"/>
          <w:szCs w:val="24"/>
        </w:rPr>
        <w:t xml:space="preserve">Уточнены правила определения победителя конкурса на перевозки.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Так же изменения коснулись организации регулярных перевозок по межрегиональным,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муниципальным и межмуниципальным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маршрутам регулярных перевозок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ведения реестров маршрутов;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оформления свидетельств, прекращения их действия;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требований к объектам транспортной инфраструктуры и порядка пользования ими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2024-12-09T11:38:31Z</dcterms:modified>
</cp:coreProperties>
</file>