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widowControl w:val="off"/>
              <w:rPr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Об утверж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дении Порядка предоставления субсидий 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юридическим лицам и индивидуальным п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редпринимателям, находящимся на территориях городс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кого округа «Город Белгород» и муниципального района «Белгородский район» </w:t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  <w:t xml:space="preserve">на приобретение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подвижного состава пассажирского транспорта общего пользования,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источником финансового обеспечения расходов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на реализацию которых является специальный казначейский кредит</w:t>
            </w:r>
            <w:r/>
            <w:r/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»</w:t>
            </w:r>
            <w:r/>
            <w:r/>
            <w:r>
              <w:rPr>
                <w:rFonts w:eastAsiaTheme="minorHAnsi"/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 </w:t>
            </w:r>
            <w:r>
              <w:rPr>
                <w:sz w:val="24"/>
                <w:szCs w:val="24"/>
              </w:rPr>
              <w:t xml:space="preserve">30 августа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13 сентября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10</cp:revision>
  <dcterms:created xsi:type="dcterms:W3CDTF">2023-04-28T08:41:00Z</dcterms:created>
  <dcterms:modified xsi:type="dcterms:W3CDTF">2023-08-30T06:52:32Z</dcterms:modified>
</cp:coreProperties>
</file>