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  <w:t xml:space="preserve">Об утверж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  <w:t xml:space="preserve">дении Порядка предоставления субсидий 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  <w:t xml:space="preserve">юридическим лицам и индивидуальным п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  <w:t xml:space="preserve">редпринимателям, находящимся на территориях городс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  <w:t xml:space="preserve">кого округа «Город Белгород» и муниципального района «Белгородский район» 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sz w:val="24"/>
                <w:szCs w:val="24"/>
              </w:rPr>
              <w:t xml:space="preserve">на приобретение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подвижного состава пассажирского транспорта общего пользования,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источником финансового обеспечения расходов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реализацию которых является специальный казначейский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 постановления Правительства Белгородской области разработан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соответствии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статьей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78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Бюджетного кодекса Российской Федерации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постановлени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Правительства Российской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Федерации от 18 сентября 2020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года № 1492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Об общих требованиях к нормативным правовым актам, муниципальным правовым актам, регулирующим предоставление субсидий, 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том числе грантов в форме субсидий, юридическим лицам, индивидуальным предпринимате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лям, а также физическим лицам –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от 5 апреля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2022 года № 590 «О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внесении изменений в общие требования к нормативным правовым актам, муниципальным правовым актам, регулирующим предоставление субсидий, 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том числе грантов в форме субсидий, юридическим лицам, индивидуальным предпринимате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лям, а также физическим лицам –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в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2022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году»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целях обновления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4"/>
              </w:rPr>
              <w:t xml:space="preserve">подвижного состава общественного пассажирского автомобильного транспорта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b w:val="0"/>
                <w:bCs w:val="0"/>
                <w:i/>
                <w:iCs/>
                <w:sz w:val="24"/>
                <w:szCs w:val="24"/>
              </w:rPr>
              <w:t xml:space="preserve">на территориях городского округа «Город Белгород» и муниципального района «Белгородский район»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5</cp:revision>
  <dcterms:created xsi:type="dcterms:W3CDTF">2023-04-28T08:40:00Z</dcterms:created>
  <dcterms:modified xsi:type="dcterms:W3CDTF">2023-08-30T07:12:05Z</dcterms:modified>
</cp:coreProperties>
</file>