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</w:t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от 13 ноября 2023 года № 632-пп</w:t>
      </w:r>
      <w:r/>
    </w:p>
    <w:p>
      <w:pPr>
        <w:pStyle w:val="60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6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приведения нормативных правовых актов Белгородской области в соответствие с действующим законодательством Правительство Белгородской области постановляет</w:t>
      </w:r>
      <w:r>
        <w:rPr>
          <w:rFonts w:ascii="Times New Roman" w:hAnsi="Times New Roman" w:cs="Times New Roman"/>
          <w:bCs/>
          <w:sz w:val="28"/>
          <w:szCs w:val="28"/>
        </w:rPr>
        <w:t xml:space="preserve">:</w:t>
      </w:r>
      <w:r/>
    </w:p>
    <w:p>
      <w:pPr>
        <w:pStyle w:val="60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8" w:tooltip="https://login.consultant.ru/link/?req=doc&amp;base=RLAW404&amp;n=93776" w:history="1">
        <w:r>
          <w:rPr>
            <w:rFonts w:ascii="Times New Roman" w:hAnsi="Times New Roman" w:cs="Times New Roman"/>
            <w:sz w:val="28"/>
            <w:szCs w:val="28"/>
          </w:rPr>
          <w:t xml:space="preserve"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13 ноября 2023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632-пп </w:t>
      </w:r>
      <w:r>
        <w:rPr>
          <w:rFonts w:ascii="Times New Roman" w:hAnsi="Times New Roman" w:cs="Times New Roman"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распределении иных межбюджетных трансфертов из областного бюджета бюджета</w:t>
      </w:r>
      <w:r>
        <w:rPr>
          <w:rFonts w:ascii="Times New Roman" w:hAnsi="Times New Roman" w:cs="Times New Roman"/>
          <w:sz w:val="28"/>
          <w:szCs w:val="28"/>
        </w:rPr>
        <w:t xml:space="preserve">м муниципальных образований Белгородской области на приобретение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кредит, на 2023 и 2024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tooltip="https://login.consultant.ru/link/?req=doc&amp;base=RLAW404&amp;n=93035&amp;dst=100009" w:history="1">
        <w:r>
          <w:rPr>
            <w:rFonts w:ascii="Times New Roman" w:hAnsi="Times New Roman" w:cs="Times New Roman"/>
            <w:sz w:val="28"/>
            <w:szCs w:val="28"/>
          </w:rPr>
          <w:t xml:space="preserve">пункт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постановления исключить;</w:t>
      </w:r>
      <w:r/>
    </w:p>
    <w:p>
      <w:pPr>
        <w:pStyle w:val="60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пункты 4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5 постановления считать пунктами 3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4 соответственно.</w:t>
      </w:r>
      <w:r/>
    </w:p>
    <w:p>
      <w:pPr>
        <w:pStyle w:val="60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заместителя Губернатора Белгородской области Базарова В.В.</w:t>
      </w:r>
      <w:r/>
    </w:p>
    <w:p>
      <w:pPr>
        <w:pStyle w:val="60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опубликования.</w:t>
      </w:r>
      <w:r/>
    </w:p>
    <w:p>
      <w:pPr>
        <w:ind w:left="706" w:right="4944" w:hanging="10"/>
        <w:spacing w:after="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706" w:right="4944" w:hanging="10"/>
        <w:spacing w:after="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706" w:right="4944" w:hanging="10"/>
        <w:spacing w:after="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706" w:right="4944" w:hanging="10"/>
        <w:spacing w:after="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Губернатор</w:t>
      </w:r>
      <w:r/>
    </w:p>
    <w:p>
      <w:pPr>
        <w:ind w:left="-5" w:right="-1" w:hanging="10"/>
        <w:spacing w:after="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Белгородской области                                                                     В.В. Гладков</w:t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-5" w:right="-1" w:hanging="10"/>
        <w:spacing w:after="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/>
    </w:p>
    <w:p>
      <w:pPr>
        <w:pStyle w:val="6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603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  <w:style w:type="paragraph" w:styleId="604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605">
    <w:name w:val="Balloon Text"/>
    <w:basedOn w:val="598"/>
    <w:link w:val="60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06" w:customStyle="1">
    <w:name w:val="Текст выноски Знак"/>
    <w:basedOn w:val="599"/>
    <w:link w:val="60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RLAW404&amp;n=93776" TargetMode="External"/><Relationship Id="rId9" Type="http://schemas.openxmlformats.org/officeDocument/2006/relationships/hyperlink" Target="https://login.consultant.ru/link/?req=doc&amp;base=RLAW404&amp;n=93035&amp;dst=10000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revision>4</cp:revision>
  <dcterms:created xsi:type="dcterms:W3CDTF">2023-11-29T15:41:00Z</dcterms:created>
  <dcterms:modified xsi:type="dcterms:W3CDTF">2023-12-05T08:14:57Z</dcterms:modified>
</cp:coreProperties>
</file>