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Обоснование </w:t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br/>
        <w:t xml:space="preserve">на конкуренцию </w:t>
      </w:r>
      <w:r/>
    </w:p>
    <w:tbl>
      <w:tblPr>
        <w:tblStyle w:val="815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345" w:type="dxa"/>
            <w:textDirection w:val="lrTb"/>
            <w:noWrap w:val="false"/>
          </w:tcPr>
          <w:p>
            <w:pPr>
              <w:pStyle w:val="1_635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Проект 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в постановление Правительства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Белгородской области от 13 ноября 2023 года № 632-пп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Губернат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ора или Правительства Белгородской области, нормативного правового акта органа исполнительной власти области)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органа исполнительной власти области, подготовившего данный проект нормативного правового акта)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Проект постановления Правительства Белгородской области разработан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 соответствии 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  <w:highlight w:val="none"/>
              </w:rPr>
              <w:t xml:space="preserve">разработан в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highlight w:val="white"/>
              </w:rPr>
              <w:t xml:space="preserve">целях приведения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highlight w:val="white"/>
              </w:rPr>
              <w:t xml:space="preserve">в соответствие с действующим законодательством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highlight w:val="white"/>
              </w:rPr>
              <w:t xml:space="preserve">нормативных правовых актов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highlight w:val="white"/>
              </w:rPr>
              <w:t xml:space="preserve"> Белгородской области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highlight w:val="white"/>
              </w:rPr>
              <w:t xml:space="preserve">, а также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корректировки сведений, содержащихся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</w:t>
            </w:r>
            <w:hyperlink r:id="rId8" w:tooltip="https://login.consultant.ru/link/?req=doc&amp;base=RLAW404&amp;n=93776" w:history="1">
              <w:r>
                <w:rPr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 xml:space="preserve">постановление</w:t>
              </w:r>
            </w:hyperlink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Правительства Белгородской области от 13 ноября 2023 года № 632-пп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 распределении иных межбюджетных трансфертов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 областного бюджета бюджета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 муниципальных образований Белгородской области на приобретение подвижного состава пассажирского транспорта общего пользования, источником финансового обеспечения расходов на реализацию которых является специальный казначейский кредит, на 2023 и 2024 годы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.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</w:rPr>
            </w:r>
          </w:p>
          <w:p>
            <w:pPr>
              <w:jc w:val="both"/>
              <w:keepNext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  <w:r>
              <w:rPr>
                <w:i/>
                <w:iCs/>
              </w:rPr>
            </w:r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Не окажет.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/>
          </w:p>
          <w:p>
            <w:pP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Отсутствую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table" w:styleId="815">
    <w:name w:val="Table Grid"/>
    <w:basedOn w:val="8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_635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1104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login.consultant.ru/link/?req=doc&amp;base=RLAW404&amp;n=9377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revision>6</cp:revision>
  <dcterms:created xsi:type="dcterms:W3CDTF">2023-04-28T08:40:00Z</dcterms:created>
  <dcterms:modified xsi:type="dcterms:W3CDTF">2023-12-05T11:45:48Z</dcterms:modified>
</cp:coreProperties>
</file>