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 </w:t>
            </w:r>
            <w:r/>
            <w:r>
              <w:rPr>
                <w:sz w:val="24"/>
                <w:szCs w:val="24"/>
              </w:rPr>
              <w:t xml:space="preserve">постановления Правительства Белгородской област</w:t>
            </w:r>
            <w:r>
              <w:rPr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«О распределении иных межбюджетных трансфертов из областного бюджета бюджетам муниципальных образований Белгородской области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приобретение подвижного состава пассажирского транспорта общего пользования, источником финансового обеспечения расходов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реализацию которых является специальный казначейский кредит,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2023 и 2024 годы»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rFonts w:ascii="Times New Roman" w:hAnsi="Times New Roman" w:eastAsia="Liberation Sans" w:cs="Times New Roman"/>
                <w:color w:val="373a3c"/>
                <w:sz w:val="24"/>
                <w:highlight w:val="white"/>
              </w:rPr>
              <w:t xml:space="preserve">mintrans@belregion.ru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октября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ода по </w:t>
            </w:r>
            <w:r>
              <w:rPr>
                <w:sz w:val="24"/>
                <w:szCs w:val="24"/>
              </w:rPr>
              <w:t xml:space="preserve">3 ноября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Рязанцева Галина Михайловна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начальник</w:t>
            </w:r>
            <w:bookmarkStart w:id="0" w:name="_GoBack"/>
            <w:r/>
            <w:bookmarkEnd w:id="0"/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бюджетного финансирования и правового обеспечения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</w:t>
            </w:r>
            <w:r>
              <w:rPr>
                <w:i/>
                <w:sz w:val="24"/>
                <w:szCs w:val="24"/>
              </w:rPr>
              <w:t xml:space="preserve">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27-</w:t>
            </w:r>
            <w:r>
              <w:rPr>
                <w:i/>
                <w:sz w:val="24"/>
                <w:szCs w:val="24"/>
              </w:rPr>
              <w:t xml:space="preserve">07-</w:t>
            </w:r>
            <w:r>
              <w:rPr>
                <w:i/>
                <w:sz w:val="24"/>
                <w:szCs w:val="24"/>
              </w:rPr>
              <w:t xml:space="preserve">83.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4</cp:revision>
  <dcterms:created xsi:type="dcterms:W3CDTF">2023-08-10T11:56:00Z</dcterms:created>
  <dcterms:modified xsi:type="dcterms:W3CDTF">2023-11-20T08:31:45Z</dcterms:modified>
</cp:coreProperties>
</file>