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остановлени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Правительства Белгородской области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«О распределении иных межбюджетных трансфертов из областного бюджета бюджетам муниципальных образований Белгородской области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приобретение подвижного состава пассажирского транспорта общего пользования, источником финансового обеспечения расходов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реализацию которых является специальный казначейский кредит,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2023 и 2024 годы»</w:t>
            </w:r>
            <w:r/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864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</w:t>
            </w:r>
            <w:r>
              <w:rPr>
                <w:sz w:val="24"/>
                <w:szCs w:val="24"/>
                <w:lang w:eastAsia="en-US"/>
              </w:rPr>
              <w:t xml:space="preserve"> </w:t>
            </w:r>
            <w:r>
              <w:rPr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ind w:firstLine="709"/>
              <w:jc w:val="both"/>
              <w:widowControl w:val="off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  <w:lang w:eastAsia="en-US"/>
              </w:rPr>
              <w:t xml:space="preserve">Проект </w:t>
            </w:r>
            <w:r>
              <w:rPr>
                <w:sz w:val="24"/>
                <w:szCs w:val="24"/>
              </w:rPr>
              <w:t xml:space="preserve">Постановление Правительства Белгородской области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«О распределении иных межбюджетных трансфертов из областного бюджета бюджетам муниципальных образований Белгородской области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приобретение подвижного состава пассажирского транспорта общего пользова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ния, источником финансового обеспечения расходов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реализацию которых является специальный казначейский кредит,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2023 и 2024 годы»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разработан в соответствии с постановлением Правительства Российской Федерации от 31 марта 2023 года № 525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 пункт 12</w:t>
            </w:r>
            <w:r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Положения о Правительстве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нной комиссии по региональному развитию в Российской Федерации».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709"/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Проектом постановления </w:t>
            </w:r>
            <w:r>
              <w:rPr>
                <w:rFonts w:ascii="PT Astra Serif" w:hAnsi="PT Astra Serif" w:eastAsia="Calibri" w:cs="PT Astra Serif"/>
                <w:sz w:val="24"/>
                <w:szCs w:val="24"/>
              </w:rPr>
              <w:t xml:space="preserve">распределены иные межбюджетные трансферты   на приобретение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подвижного состава пассажирского транспорта общего пользования, источником финансового обеспечения расходов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 реализацию которых является специальный казначейский кредит.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4</cp:revision>
  <dcterms:created xsi:type="dcterms:W3CDTF">2023-08-10T11:55:00Z</dcterms:created>
  <dcterms:modified xsi:type="dcterms:W3CDTF">2023-11-20T08:35:59Z</dcterms:modified>
</cp:coreProperties>
</file>