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/>
    </w:p>
    <w:p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/>
    </w:p>
    <w:p>
      <w:pPr>
        <w:pStyle w:val="81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об участнике публичных консультаций</w:t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хозяйствующего субъекта (организации)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участника публичных консультаций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  <w:r/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Общие сведения о проекте нормативного правового акта</w:t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4"/>
      </w:tblGrid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bCs/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остановлени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Правительства Белгородской области 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«О распределении иных межбюджетных трансфертов из областного бюджета бюджетам муниципальных образований Белгородской области 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 на приобретение подвижного состава пассажирского транспорта общего пользования, источником финансового обеспечения расходов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 на реализацию которых является специальный казначейский кредит, 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 на 2023 и 2024 годы»</w:t>
            </w:r>
            <w:r/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 проекте нормативного правового акта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которые могут оказать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4. </w:t>
            </w:r>
            <w:r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5. </w:t>
            </w:r>
            <w:r>
              <w:rPr>
                <w:sz w:val="24"/>
                <w:szCs w:val="24"/>
              </w:rPr>
              <w:t xml:space="preserve">Какие положения антимонопольного законодательства могут быть нарушены?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6. </w:t>
            </w:r>
            <w:r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>
              <w:rPr>
                <w:sz w:val="24"/>
                <w:szCs w:val="24"/>
              </w:rPr>
              <w:t xml:space="preserve">принятия</w:t>
            </w:r>
            <w:r>
              <w:rPr>
                <w:sz w:val="24"/>
                <w:szCs w:val="24"/>
              </w:rPr>
              <w:t xml:space="preserve"> нормативного правового акта</w:t>
            </w:r>
            <w:r>
              <w:rPr>
                <w:sz w:val="24"/>
                <w:szCs w:val="24"/>
              </w:rPr>
              <w:t xml:space="preserve"> в данной редакции</w:t>
            </w:r>
            <w:r>
              <w:rPr>
                <w:sz w:val="24"/>
                <w:szCs w:val="24"/>
              </w:rPr>
              <w:t xml:space="preserve">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Liberation Sans" w:cs="Times New Roman"/>
                <w:color w:val="373a3c"/>
                <w:sz w:val="24"/>
                <w:highlight w:val="white"/>
              </w:rPr>
              <w:t xml:space="preserve">mintrans@belregion.ru</w:t>
            </w:r>
            <w:r/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</w:t>
            </w:r>
            <w:r>
              <w:rPr>
                <w:sz w:val="24"/>
                <w:szCs w:val="24"/>
              </w:rPr>
              <w:t xml:space="preserve">предложений: 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23 октября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  <w:t xml:space="preserve">ода по </w:t>
            </w:r>
            <w:r>
              <w:rPr>
                <w:sz w:val="24"/>
                <w:szCs w:val="24"/>
              </w:rPr>
              <w:t xml:space="preserve">3 ноября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года.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sz w:val="2"/>
                <w:szCs w:val="2"/>
                <w:highlight w:val="yellow"/>
              </w:rPr>
            </w:pPr>
            <w:r>
              <w:rPr>
                <w:sz w:val="2"/>
                <w:szCs w:val="2"/>
                <w:highlight w:val="yellow"/>
              </w:rPr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>
    <w:name w:val="Body Text 3"/>
    <w:basedOn w:val="811"/>
    <w:link w:val="819"/>
    <w:rPr>
      <w:rFonts w:eastAsia="Times New Roman"/>
      <w:sz w:val="28"/>
    </w:rPr>
  </w:style>
  <w:style w:type="character" w:styleId="819" w:customStyle="1">
    <w:name w:val="Основной текст 3 Знак"/>
    <w:basedOn w:val="812"/>
    <w:link w:val="818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4</cp:revision>
  <dcterms:created xsi:type="dcterms:W3CDTF">2023-08-10T11:53:00Z</dcterms:created>
  <dcterms:modified xsi:type="dcterms:W3CDTF">2023-11-20T08:32:59Z</dcterms:modified>
</cp:coreProperties>
</file>