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4035EC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 w:rsidRPr="004035EC">
              <w:rPr>
                <w:sz w:val="24"/>
                <w:szCs w:val="24"/>
              </w:rPr>
              <w:t>«</w:t>
            </w:r>
            <w:r w:rsidR="004035EC" w:rsidRPr="004035EC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06 ноября 2018 года № 408-пп</w:t>
            </w:r>
            <w:r w:rsidR="00253888" w:rsidRPr="004035EC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035EC" w:rsidRPr="004035EC" w:rsidRDefault="004035EC" w:rsidP="004035EC">
            <w:pPr>
              <w:ind w:firstLine="709"/>
              <w:jc w:val="both"/>
              <w:rPr>
                <w:sz w:val="24"/>
                <w:szCs w:val="24"/>
              </w:rPr>
            </w:pPr>
            <w:r w:rsidRPr="004035EC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4035EC">
              <w:rPr>
                <w:sz w:val="24"/>
                <w:szCs w:val="24"/>
              </w:rPr>
              <w:t>от 06 ноября 2018 года № 408-пп» подготовлен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4035EC">
              <w:rPr>
                <w:sz w:val="24"/>
                <w:szCs w:val="24"/>
              </w:rPr>
              <w:t>с распоряжением Правительства Белгородской области от 29 ноября 2021 года № 578-рп в связи с передачей с 1 января 2022 года полномочий 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также в целях приведения нормативного правового акта в соответствие</w:t>
            </w:r>
            <w:r w:rsidRPr="004035EC">
              <w:rPr>
                <w:sz w:val="24"/>
                <w:szCs w:val="24"/>
              </w:rPr>
              <w:br/>
              <w:t>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8351FF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2022-12-27T09:16:00Z</dcterms:created>
  <dcterms:modified xsi:type="dcterms:W3CDTF">2022-12-27T09:16:00Z</dcterms:modified>
</cp:coreProperties>
</file>